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AA062" w14:textId="77777777" w:rsidR="004B09E4" w:rsidRDefault="004B09E4" w:rsidP="004B09E4">
      <w:pPr>
        <w:rPr>
          <w:rFonts w:ascii="Times New Roman" w:hAnsi="Times New Roman" w:cs="Times New Roman"/>
        </w:rPr>
      </w:pPr>
      <w:bookmarkStart w:id="0" w:name="_GoBack"/>
      <w:bookmarkEnd w:id="0"/>
      <w:r>
        <w:rPr>
          <w:rFonts w:ascii="Times New Roman" w:hAnsi="Times New Roman" w:cs="Times New Roman"/>
          <w:b/>
        </w:rPr>
        <w:t>Appendix: Model comparison to dual-process accounts</w:t>
      </w:r>
    </w:p>
    <w:p w14:paraId="21379716" w14:textId="77777777" w:rsidR="004B09E4" w:rsidRDefault="004B09E4" w:rsidP="004B09E4">
      <w:pPr>
        <w:rPr>
          <w:rFonts w:ascii="Times New Roman" w:hAnsi="Times New Roman" w:cs="Times New Roman"/>
        </w:rPr>
      </w:pPr>
    </w:p>
    <w:p w14:paraId="44BE1121" w14:textId="4961ACAE" w:rsidR="004B09E4" w:rsidRPr="001927BB" w:rsidRDefault="006A57AB" w:rsidP="004B09E4">
      <w:pPr>
        <w:rPr>
          <w:rFonts w:ascii="Times New Roman" w:hAnsi="Times New Roman" w:cs="Times New Roman"/>
        </w:rPr>
      </w:pPr>
      <w:r>
        <w:rPr>
          <w:rFonts w:ascii="Times New Roman" w:hAnsi="Times New Roman" w:cs="Times New Roman"/>
        </w:rPr>
        <w:t>As suggested by the reviewers, we have added rigor to our analysis by using formal</w:t>
      </w:r>
      <w:r w:rsidR="004B09E4">
        <w:rPr>
          <w:rFonts w:ascii="Times New Roman" w:hAnsi="Times New Roman" w:cs="Times New Roman"/>
        </w:rPr>
        <w:t xml:space="preserve"> model comparison</w:t>
      </w:r>
      <w:r w:rsidR="004B09E4" w:rsidRPr="001927BB">
        <w:rPr>
          <w:rFonts w:ascii="Times New Roman" w:hAnsi="Times New Roman" w:cs="Times New Roman"/>
        </w:rPr>
        <w:t xml:space="preserve"> </w:t>
      </w:r>
      <w:r>
        <w:rPr>
          <w:rFonts w:ascii="Times New Roman" w:hAnsi="Times New Roman" w:cs="Times New Roman"/>
        </w:rPr>
        <w:t>to test</w:t>
      </w:r>
      <w:r w:rsidR="004B09E4" w:rsidRPr="001927BB">
        <w:rPr>
          <w:rFonts w:ascii="Times New Roman" w:hAnsi="Times New Roman" w:cs="Times New Roman"/>
        </w:rPr>
        <w:t xml:space="preserve"> for the most parsimonious model needed to explain the data. To do this first required us to articulate computational instantiations of </w:t>
      </w:r>
      <w:r w:rsidRPr="001927BB">
        <w:rPr>
          <w:rFonts w:ascii="Times New Roman" w:hAnsi="Times New Roman" w:cs="Times New Roman"/>
        </w:rPr>
        <w:t>dual</w:t>
      </w:r>
      <w:r>
        <w:rPr>
          <w:rFonts w:ascii="Times New Roman" w:hAnsi="Times New Roman" w:cs="Times New Roman"/>
        </w:rPr>
        <w:t>-</w:t>
      </w:r>
      <w:r w:rsidR="004B09E4" w:rsidRPr="001927BB">
        <w:rPr>
          <w:rFonts w:ascii="Times New Roman" w:hAnsi="Times New Roman" w:cs="Times New Roman"/>
        </w:rPr>
        <w:t xml:space="preserve">process accounts in the literature, in a way that would allow comparisons to the model we presented in the paper. This turned out to be a non-trivial exercise, for a number of reasons. Perhaps most importantly, extant social psychological models (i.e., anchoring and adjustment) are often described in such a way as to leave ambiguity about exactly how they should be implemented computationally, and </w:t>
      </w:r>
      <w:r>
        <w:rPr>
          <w:rFonts w:ascii="Times New Roman" w:hAnsi="Times New Roman" w:cs="Times New Roman"/>
        </w:rPr>
        <w:t>which</w:t>
      </w:r>
      <w:r w:rsidRPr="001927BB">
        <w:rPr>
          <w:rFonts w:ascii="Times New Roman" w:hAnsi="Times New Roman" w:cs="Times New Roman"/>
        </w:rPr>
        <w:t xml:space="preserve"> </w:t>
      </w:r>
      <w:r w:rsidR="004B09E4" w:rsidRPr="001927BB">
        <w:rPr>
          <w:rFonts w:ascii="Times New Roman" w:hAnsi="Times New Roman" w:cs="Times New Roman"/>
        </w:rPr>
        <w:t>parameters might be necessary to fully capture the hypotheses articulated by the model.</w:t>
      </w:r>
    </w:p>
    <w:p w14:paraId="4AA3FD8C" w14:textId="77777777" w:rsidR="004B09E4" w:rsidRPr="001927BB" w:rsidRDefault="004B09E4" w:rsidP="004B09E4">
      <w:pPr>
        <w:rPr>
          <w:rFonts w:ascii="Times New Roman" w:hAnsi="Times New Roman" w:cs="Times New Roman"/>
        </w:rPr>
      </w:pPr>
      <w:r w:rsidRPr="001927BB">
        <w:rPr>
          <w:rFonts w:ascii="Times New Roman" w:hAnsi="Times New Roman" w:cs="Times New Roman"/>
        </w:rPr>
        <w:t xml:space="preserve"> </w:t>
      </w:r>
    </w:p>
    <w:p w14:paraId="1042C68B" w14:textId="6252CD5A" w:rsidR="004B09E4" w:rsidRPr="00F6510A" w:rsidRDefault="004B09E4" w:rsidP="004B09E4">
      <w:pPr>
        <w:rPr>
          <w:rFonts w:ascii="Times New Roman" w:hAnsi="Times New Roman" w:cs="Times New Roman"/>
        </w:rPr>
      </w:pPr>
      <w:r w:rsidRPr="001927BB">
        <w:rPr>
          <w:rFonts w:ascii="Times New Roman" w:hAnsi="Times New Roman" w:cs="Times New Roman"/>
        </w:rPr>
        <w:t xml:space="preserve">Conceptually, the </w:t>
      </w:r>
      <w:r w:rsidR="006A57AB" w:rsidRPr="001927BB">
        <w:rPr>
          <w:rFonts w:ascii="Times New Roman" w:hAnsi="Times New Roman" w:cs="Times New Roman"/>
        </w:rPr>
        <w:t>anchoring</w:t>
      </w:r>
      <w:r w:rsidR="006A57AB">
        <w:rPr>
          <w:rFonts w:ascii="Times New Roman" w:hAnsi="Times New Roman" w:cs="Times New Roman"/>
        </w:rPr>
        <w:t>-</w:t>
      </w:r>
      <w:r w:rsidR="006A57AB" w:rsidRPr="001927BB">
        <w:rPr>
          <w:rFonts w:ascii="Times New Roman" w:hAnsi="Times New Roman" w:cs="Times New Roman"/>
        </w:rPr>
        <w:t>and</w:t>
      </w:r>
      <w:r w:rsidR="006A57AB">
        <w:rPr>
          <w:rFonts w:ascii="Times New Roman" w:hAnsi="Times New Roman" w:cs="Times New Roman"/>
        </w:rPr>
        <w:t>-</w:t>
      </w:r>
      <w:r w:rsidRPr="001927BB">
        <w:rPr>
          <w:rFonts w:ascii="Times New Roman" w:hAnsi="Times New Roman" w:cs="Times New Roman"/>
        </w:rPr>
        <w:t>adjustment model assumes that, at least when deciding for similar others, subjects initially anchor on their own preferences, and that a secondary controlled process activates to adjust those preferences to better account for divergence between self and other preferences. A distinguishing feature of these models is the</w:t>
      </w:r>
      <w:r w:rsidR="006A57AB">
        <w:rPr>
          <w:rFonts w:ascii="Times New Roman" w:hAnsi="Times New Roman" w:cs="Times New Roman"/>
        </w:rPr>
        <w:t>ir</w:t>
      </w:r>
      <w:r w:rsidRPr="001927BB">
        <w:rPr>
          <w:rFonts w:ascii="Times New Roman" w:hAnsi="Times New Roman" w:cs="Times New Roman"/>
        </w:rPr>
        <w:t xml:space="preserve"> temporal dynamics: the adjustment process is assumed to operate in serial fashion, such that there is an initial period of time during which the “automatic/intuitive” e</w:t>
      </w:r>
      <w:r>
        <w:rPr>
          <w:rFonts w:ascii="Times New Roman" w:hAnsi="Times New Roman" w:cs="Times New Roman"/>
        </w:rPr>
        <w:t>g</w:t>
      </w:r>
      <w:r w:rsidRPr="00F6510A">
        <w:rPr>
          <w:rFonts w:ascii="Times New Roman" w:hAnsi="Times New Roman" w:cs="Times New Roman"/>
        </w:rPr>
        <w:t xml:space="preserve">ocentric response is dominant, and a later period of time during which the “controlled/deliberative” response emerges and adjusts values away from the egocentric anchor. The anchoring-and-adjustment account further suggests that larger adjustments take </w:t>
      </w:r>
      <w:r w:rsidR="006A57AB">
        <w:rPr>
          <w:rFonts w:ascii="Times New Roman" w:hAnsi="Times New Roman" w:cs="Times New Roman"/>
        </w:rPr>
        <w:t>more</w:t>
      </w:r>
      <w:r w:rsidRPr="00F6510A">
        <w:rPr>
          <w:rFonts w:ascii="Times New Roman" w:hAnsi="Times New Roman" w:cs="Times New Roman"/>
        </w:rPr>
        <w:t xml:space="preserve"> time to fully implement. This feature of the model is used to explain why choices that diverge from self-preference take longer: the adjustment process moves away from the original self-anchor at some presumably fixed speed over time. Thus, larger differences in preference presumably take longer amounts of time to traverse away from the self, so choices where one’s own and the other’s preferences diverge substantially will take longer amounts of time to resolve because they require more time to adjust away from the initial self anchor.</w:t>
      </w:r>
    </w:p>
    <w:p w14:paraId="6CC77E70" w14:textId="77777777" w:rsidR="004B09E4" w:rsidRPr="00F6510A" w:rsidRDefault="004B09E4" w:rsidP="004B09E4">
      <w:pPr>
        <w:rPr>
          <w:rFonts w:ascii="Times New Roman" w:hAnsi="Times New Roman" w:cs="Times New Roman"/>
        </w:rPr>
      </w:pPr>
      <w:r w:rsidRPr="00F6510A">
        <w:rPr>
          <w:rFonts w:ascii="Times New Roman" w:hAnsi="Times New Roman" w:cs="Times New Roman"/>
        </w:rPr>
        <w:t xml:space="preserve"> </w:t>
      </w:r>
    </w:p>
    <w:p w14:paraId="3C4A7484" w14:textId="77777777" w:rsidR="004B09E4" w:rsidRDefault="004B09E4" w:rsidP="004B09E4">
      <w:pPr>
        <w:rPr>
          <w:rFonts w:ascii="Times New Roman" w:hAnsi="Times New Roman" w:cs="Times New Roman"/>
        </w:rPr>
      </w:pPr>
      <w:r w:rsidRPr="00F6510A">
        <w:rPr>
          <w:rFonts w:ascii="Times New Roman" w:hAnsi="Times New Roman" w:cs="Times New Roman"/>
        </w:rPr>
        <w:t xml:space="preserve">We sought to implement different versions of this conceptual model computationally. All of the models use the same basic assumption that choices are made via sequential accumulation to bound, and then include additional assumptions and parameters to mimic the putative operation of dual processes. Each of these parameters implement different possible assumptions about how the evidence (i.e. value) might vary over time (i.e. driven initially by self-preferences, and then shifting to the other’s preferences). </w:t>
      </w:r>
    </w:p>
    <w:p w14:paraId="0F64C01A" w14:textId="77777777" w:rsidR="004B09E4" w:rsidRDefault="004B09E4" w:rsidP="004B09E4">
      <w:pPr>
        <w:rPr>
          <w:rFonts w:ascii="Times New Roman" w:hAnsi="Times New Roman" w:cs="Times New Roman"/>
        </w:rPr>
      </w:pPr>
    </w:p>
    <w:p w14:paraId="272A5840" w14:textId="1D9CE3D8" w:rsidR="004B09E4" w:rsidRPr="00F6510A" w:rsidRDefault="004B09E4" w:rsidP="004B09E4">
      <w:pPr>
        <w:rPr>
          <w:rFonts w:ascii="Times New Roman" w:hAnsi="Times New Roman" w:cs="Times New Roman"/>
        </w:rPr>
      </w:pPr>
      <w:r w:rsidRPr="00F6510A">
        <w:rPr>
          <w:rFonts w:ascii="Times New Roman" w:hAnsi="Times New Roman" w:cs="Times New Roman"/>
        </w:rPr>
        <w:t>To implement these models, we had to move away from our original modeling package (hDDM), because it cannot implement non-standard DDM-type models</w:t>
      </w:r>
      <w:r>
        <w:rPr>
          <w:rFonts w:ascii="Times New Roman" w:hAnsi="Times New Roman" w:cs="Times New Roman"/>
        </w:rPr>
        <w:t xml:space="preserve"> in which the evidence changes systematically over time</w:t>
      </w:r>
      <w:r w:rsidRPr="00F6510A">
        <w:rPr>
          <w:rFonts w:ascii="Times New Roman" w:hAnsi="Times New Roman" w:cs="Times New Roman"/>
        </w:rPr>
        <w:t>. Instead, we shifted to a method similar to that described in Hutcherson, Bushong, &amp; Rangel (</w:t>
      </w:r>
      <w:r w:rsidR="006A57AB" w:rsidRPr="00F6510A">
        <w:rPr>
          <w:rFonts w:ascii="Times New Roman" w:hAnsi="Times New Roman" w:cs="Times New Roman"/>
        </w:rPr>
        <w:t>2</w:t>
      </w:r>
      <w:r w:rsidR="006A57AB">
        <w:rPr>
          <w:rFonts w:ascii="Times New Roman" w:hAnsi="Times New Roman" w:cs="Times New Roman"/>
        </w:rPr>
        <w:t>01</w:t>
      </w:r>
      <w:r w:rsidR="006A57AB" w:rsidRPr="00F6510A">
        <w:rPr>
          <w:rFonts w:ascii="Times New Roman" w:hAnsi="Times New Roman" w:cs="Times New Roman"/>
        </w:rPr>
        <w:t>5</w:t>
      </w:r>
      <w:r w:rsidRPr="00F6510A">
        <w:rPr>
          <w:rFonts w:ascii="Times New Roman" w:hAnsi="Times New Roman" w:cs="Times New Roman"/>
        </w:rPr>
        <w:t xml:space="preserve">). In brief, we first specified a model and parameters, simulated probability distributions of choices (i.e. yes/no) and RTs for each combination of model parameters and for each </w:t>
      </w:r>
      <w:r>
        <w:rPr>
          <w:rFonts w:ascii="Times New Roman" w:hAnsi="Times New Roman" w:cs="Times New Roman"/>
        </w:rPr>
        <w:t xml:space="preserve">of 16 </w:t>
      </w:r>
      <w:r w:rsidRPr="00F6510A">
        <w:rPr>
          <w:rFonts w:ascii="Times New Roman" w:hAnsi="Times New Roman" w:cs="Times New Roman"/>
        </w:rPr>
        <w:t>unique trial type</w:t>
      </w:r>
      <w:r>
        <w:rPr>
          <w:rFonts w:ascii="Times New Roman" w:hAnsi="Times New Roman" w:cs="Times New Roman"/>
        </w:rPr>
        <w:t>s</w:t>
      </w:r>
      <w:r w:rsidRPr="00F6510A">
        <w:rPr>
          <w:rFonts w:ascii="Times New Roman" w:hAnsi="Times New Roman" w:cs="Times New Roman"/>
        </w:rPr>
        <w:t xml:space="preserve"> (e.g. foods rated with 4 on health and 4 on taste, foods rated with 4 on health and 3 on taste, etc.). For each subject we then computed the total likelihood of the observed choices and RTs for a given condition (i.e. choices for Similar or Dissimilar other), using the simulated likelihoods to identify the precise parameter-value combination that maximized the overall likelihood of the observed data for that subject. We then used the same procedure to identify the most-likely parameter-value combinations in a reduced model that included NO implementation of serial anchoring-and-adjustment. Following identification of best-fitting parameters in both the “dual-process” and “reduced” models, we </w:t>
      </w:r>
      <w:r w:rsidRPr="00F6510A">
        <w:rPr>
          <w:rFonts w:ascii="Times New Roman" w:hAnsi="Times New Roman" w:cs="Times New Roman"/>
        </w:rPr>
        <w:lastRenderedPageBreak/>
        <w:t xml:space="preserve">calculated likelihoods of the total observed data for each subject for each model. This allowed us to do formal model comparison. We used </w:t>
      </w:r>
      <w:r>
        <w:rPr>
          <w:rFonts w:ascii="Times New Roman" w:hAnsi="Times New Roman" w:cs="Times New Roman"/>
        </w:rPr>
        <w:t xml:space="preserve">both </w:t>
      </w:r>
      <w:r w:rsidRPr="00F6510A">
        <w:rPr>
          <w:rFonts w:ascii="Times New Roman" w:hAnsi="Times New Roman" w:cs="Times New Roman"/>
        </w:rPr>
        <w:t xml:space="preserve">the Bayesian Information Criterion (BIC) </w:t>
      </w:r>
      <w:r>
        <w:rPr>
          <w:rFonts w:ascii="Times New Roman" w:hAnsi="Times New Roman" w:cs="Times New Roman"/>
        </w:rPr>
        <w:t xml:space="preserve">and the more liberal Akaike Information Criterion (AIC) </w:t>
      </w:r>
      <w:r w:rsidRPr="00F6510A">
        <w:rPr>
          <w:rFonts w:ascii="Times New Roman" w:hAnsi="Times New Roman" w:cs="Times New Roman"/>
        </w:rPr>
        <w:t xml:space="preserve">value </w:t>
      </w:r>
      <w:r>
        <w:rPr>
          <w:rFonts w:ascii="Times New Roman" w:hAnsi="Times New Roman" w:cs="Times New Roman"/>
        </w:rPr>
        <w:t>to compare</w:t>
      </w:r>
      <w:r w:rsidRPr="00F6510A">
        <w:rPr>
          <w:rFonts w:ascii="Times New Roman" w:hAnsi="Times New Roman" w:cs="Times New Roman"/>
        </w:rPr>
        <w:t xml:space="preserve"> different models. As a supplement, we also performed analyses quantifying the extent to which the addition of a specific parameter accounted for key patterns of interest (i.e. the frequency with which participant’s choices differed for self vs. other, how much longer RTs were for same vs. different choice</w:t>
      </w:r>
      <w:r>
        <w:rPr>
          <w:rFonts w:ascii="Times New Roman" w:hAnsi="Times New Roman" w:cs="Times New Roman"/>
        </w:rPr>
        <w:t>s, etc)</w:t>
      </w:r>
      <w:r w:rsidRPr="00F6510A">
        <w:rPr>
          <w:rFonts w:ascii="Times New Roman" w:hAnsi="Times New Roman" w:cs="Times New Roman"/>
        </w:rPr>
        <w:t xml:space="preserve">. </w:t>
      </w:r>
      <w:r w:rsidRPr="002A4BAF">
        <w:rPr>
          <w:rFonts w:ascii="Times New Roman" w:hAnsi="Times New Roman" w:cs="Times New Roman"/>
          <w:b/>
          <w:i/>
          <w:iCs/>
        </w:rPr>
        <w:t>To summarize and anticipate these findings, none of these models showed clear evidence that more complicated time-dependent dual-process models provided a better fit to the data than our original model.</w:t>
      </w:r>
      <w:r w:rsidRPr="00F6510A">
        <w:rPr>
          <w:rFonts w:ascii="Times New Roman" w:hAnsi="Times New Roman" w:cs="Times New Roman"/>
        </w:rPr>
        <w:t xml:space="preserve"> We justify this statement with a more detailed description below.</w:t>
      </w:r>
    </w:p>
    <w:p w14:paraId="1E884893" w14:textId="77777777" w:rsidR="004B09E4" w:rsidRPr="00F6510A" w:rsidRDefault="004B09E4" w:rsidP="004B09E4">
      <w:pPr>
        <w:rPr>
          <w:rFonts w:ascii="Times New Roman" w:hAnsi="Times New Roman" w:cs="Times New Roman"/>
        </w:rPr>
      </w:pPr>
      <w:r w:rsidRPr="00F6510A">
        <w:rPr>
          <w:rFonts w:ascii="Times New Roman" w:hAnsi="Times New Roman" w:cs="Times New Roman"/>
        </w:rPr>
        <w:t xml:space="preserve"> </w:t>
      </w:r>
    </w:p>
    <w:p w14:paraId="6D54E127" w14:textId="77777777" w:rsidR="004B09E4" w:rsidRPr="00F6510A" w:rsidRDefault="004B09E4" w:rsidP="004B09E4">
      <w:pPr>
        <w:rPr>
          <w:rFonts w:ascii="Times New Roman" w:hAnsi="Times New Roman" w:cs="Times New Roman"/>
        </w:rPr>
      </w:pPr>
      <w:r w:rsidRPr="00F6510A">
        <w:rPr>
          <w:rFonts w:ascii="Times New Roman" w:hAnsi="Times New Roman" w:cs="Times New Roman"/>
          <w:i/>
          <w:iCs/>
        </w:rPr>
        <w:t xml:space="preserve">Model 1: Delayed shift </w:t>
      </w:r>
      <w:r>
        <w:rPr>
          <w:rFonts w:ascii="Times New Roman" w:hAnsi="Times New Roman" w:cs="Times New Roman"/>
          <w:i/>
          <w:iCs/>
        </w:rPr>
        <w:t xml:space="preserve">in taste and health </w:t>
      </w:r>
      <w:r w:rsidRPr="00F6510A">
        <w:rPr>
          <w:rFonts w:ascii="Times New Roman" w:hAnsi="Times New Roman" w:cs="Times New Roman"/>
          <w:i/>
          <w:iCs/>
        </w:rPr>
        <w:t>weights.</w:t>
      </w:r>
      <w:r w:rsidRPr="00F6510A">
        <w:rPr>
          <w:rFonts w:ascii="Times New Roman" w:hAnsi="Times New Roman" w:cs="Times New Roman"/>
        </w:rPr>
        <w:t xml:space="preserve"> Dual process models tend to assume that there is a rapid and automatic process that favors one type of responding (i.e. egoistic biases), and that there is a second, slower process that activates later, requires more effort, and favors a different kind of responding (i.e. adjustments for differing perspectives).</w:t>
      </w:r>
    </w:p>
    <w:p w14:paraId="6C4E8662" w14:textId="77777777" w:rsidR="004B09E4" w:rsidRPr="00F6510A" w:rsidRDefault="004B09E4" w:rsidP="004B09E4">
      <w:pPr>
        <w:rPr>
          <w:rFonts w:ascii="Times New Roman" w:hAnsi="Times New Roman" w:cs="Times New Roman"/>
        </w:rPr>
      </w:pPr>
      <w:r w:rsidRPr="00F6510A">
        <w:rPr>
          <w:rFonts w:ascii="Times New Roman" w:hAnsi="Times New Roman" w:cs="Times New Roman"/>
        </w:rPr>
        <w:t xml:space="preserve"> </w:t>
      </w:r>
    </w:p>
    <w:p w14:paraId="4B8015C5" w14:textId="26DD8965" w:rsidR="00853213" w:rsidRPr="00F6510A" w:rsidRDefault="004B09E4" w:rsidP="004B09E4">
      <w:pPr>
        <w:rPr>
          <w:rFonts w:ascii="Times New Roman" w:hAnsi="Times New Roman" w:cs="Times New Roman"/>
        </w:rPr>
      </w:pPr>
      <w:r w:rsidRPr="00F6510A">
        <w:rPr>
          <w:rFonts w:ascii="Times New Roman" w:hAnsi="Times New Roman" w:cs="Times New Roman"/>
        </w:rPr>
        <w:t>Our first model implemented a version of this using the following assumptions:</w:t>
      </w:r>
    </w:p>
    <w:p w14:paraId="0CC955DC" w14:textId="1BECBCD0" w:rsidR="00853213" w:rsidRDefault="004B09E4" w:rsidP="002A4BAF">
      <w:pPr>
        <w:pStyle w:val="ListParagraph"/>
        <w:numPr>
          <w:ilvl w:val="0"/>
          <w:numId w:val="10"/>
        </w:numPr>
        <w:rPr>
          <w:rFonts w:ascii="Times New Roman" w:hAnsi="Times New Roman" w:cs="Times New Roman"/>
        </w:rPr>
      </w:pPr>
      <w:r w:rsidRPr="002A4BAF">
        <w:rPr>
          <w:rFonts w:ascii="Times New Roman" w:hAnsi="Times New Roman" w:cs="Times New Roman"/>
        </w:rPr>
        <w:t>First, we assumed that participants accumulate evidence over time until that evidence crosses a threshold for choice, as in a standard DDM, and that the factors driving that evidence consist of some weighted consideration of subjective ratings of health and taste, as in our original model described in the original paper.</w:t>
      </w:r>
    </w:p>
    <w:p w14:paraId="4B1AC11B" w14:textId="7DF22A65" w:rsidR="00853213" w:rsidRPr="00F6510A" w:rsidRDefault="004B09E4" w:rsidP="002A4BAF">
      <w:pPr>
        <w:pStyle w:val="ListParagraph"/>
        <w:numPr>
          <w:ilvl w:val="0"/>
          <w:numId w:val="10"/>
        </w:numPr>
        <w:rPr>
          <w:rFonts w:ascii="Times New Roman" w:hAnsi="Times New Roman" w:cs="Times New Roman"/>
        </w:rPr>
      </w:pPr>
      <w:r w:rsidRPr="00F6510A">
        <w:rPr>
          <w:rFonts w:ascii="Times New Roman" w:hAnsi="Times New Roman" w:cs="Times New Roman"/>
        </w:rPr>
        <w:t xml:space="preserve">Second, we assumed that the weighting of health and taste evidence could vary over time within a trial. Consistent with the anchoring-and-adjustment account, we assumed that participants initially begin computing value in the </w:t>
      </w:r>
      <w:r w:rsidRPr="002A4BAF">
        <w:rPr>
          <w:rFonts w:ascii="Times New Roman" w:hAnsi="Times New Roman" w:cs="Times New Roman"/>
          <w:i/>
        </w:rPr>
        <w:t>same</w:t>
      </w:r>
      <w:r w:rsidRPr="00F6510A">
        <w:rPr>
          <w:rFonts w:ascii="Times New Roman" w:hAnsi="Times New Roman" w:cs="Times New Roman"/>
        </w:rPr>
        <w:t xml:space="preserve"> way as they would for themselves, and then switch to a more nuanced consideration that incorporates their knowledge about the other’s preferences. We implemented this assumption by first fitting weights on health and taste for self-choice trials only (to derive “egocentric” weights) and then using those </w:t>
      </w:r>
      <w:r>
        <w:rPr>
          <w:rFonts w:ascii="Times New Roman" w:hAnsi="Times New Roman" w:cs="Times New Roman"/>
        </w:rPr>
        <w:t xml:space="preserve">same </w:t>
      </w:r>
      <w:r w:rsidRPr="00F6510A">
        <w:rPr>
          <w:rFonts w:ascii="Times New Roman" w:hAnsi="Times New Roman" w:cs="Times New Roman"/>
        </w:rPr>
        <w:t xml:space="preserve">weights as the initial starting weights on taste and health when choosing for the </w:t>
      </w:r>
      <w:r w:rsidRPr="002A4BAF">
        <w:rPr>
          <w:rFonts w:ascii="Times New Roman" w:hAnsi="Times New Roman" w:cs="Times New Roman"/>
          <w:i/>
        </w:rPr>
        <w:t>Similar</w:t>
      </w:r>
      <w:r w:rsidRPr="00F6510A">
        <w:rPr>
          <w:rFonts w:ascii="Times New Roman" w:hAnsi="Times New Roman" w:cs="Times New Roman"/>
        </w:rPr>
        <w:t xml:space="preserve"> or </w:t>
      </w:r>
      <w:r w:rsidRPr="002A4BAF">
        <w:rPr>
          <w:rFonts w:ascii="Times New Roman" w:hAnsi="Times New Roman" w:cs="Times New Roman"/>
          <w:i/>
        </w:rPr>
        <w:t>Dissimilar</w:t>
      </w:r>
      <w:r w:rsidRPr="00F6510A">
        <w:rPr>
          <w:rFonts w:ascii="Times New Roman" w:hAnsi="Times New Roman" w:cs="Times New Roman"/>
        </w:rPr>
        <w:t xml:space="preserve"> other.</w:t>
      </w:r>
    </w:p>
    <w:p w14:paraId="31DFF28D" w14:textId="4007FD01" w:rsidR="004B09E4" w:rsidRPr="00F6510A" w:rsidRDefault="004B09E4" w:rsidP="002A4BAF">
      <w:pPr>
        <w:pStyle w:val="ListParagraph"/>
        <w:numPr>
          <w:ilvl w:val="0"/>
          <w:numId w:val="10"/>
        </w:numPr>
        <w:rPr>
          <w:rFonts w:ascii="Times New Roman" w:hAnsi="Times New Roman" w:cs="Times New Roman"/>
        </w:rPr>
      </w:pPr>
      <w:r w:rsidRPr="00F6510A">
        <w:rPr>
          <w:rFonts w:ascii="Times New Roman" w:hAnsi="Times New Roman" w:cs="Times New Roman"/>
        </w:rPr>
        <w:t xml:space="preserve">We then assumed that at some fixed point following the onset of accumulation using pure self-weights, a perspective taking mechanism activates that shifts those weights to some new values that better represent the chooser’s subjective conception of their partner’s preferences. Note that this second set of weights could continue to reflect egocentric preferences as well, in which case the total estimated weight would represent some weighted combination of one’s own weights and the assumed weights for the other. For example, if the subject’s own weights on taste and health were +.08 and +.01, but they believe their partner to care less about taste and more about health (say, +.06 and +.03), then at some time-point </w:t>
      </w:r>
      <w:r w:rsidRPr="00F6510A">
        <w:rPr>
          <w:rFonts w:ascii="Times New Roman" w:hAnsi="Times New Roman" w:cs="Times New Roman"/>
          <w:i/>
          <w:iCs/>
        </w:rPr>
        <w:t>T</w:t>
      </w:r>
      <w:r w:rsidRPr="00F6510A">
        <w:rPr>
          <w:rFonts w:ascii="Times New Roman" w:hAnsi="Times New Roman" w:cs="Times New Roman"/>
        </w:rPr>
        <w:t>, the weight given to a food’s taste and health attributes would shift from .08 and .01 to .06 and .03, respectively (or, in the case of continuing to place some weight on one’s own preferences, it might shift from a taste-weight of .08 to a value intermediate to .</w:t>
      </w:r>
      <w:r w:rsidR="002A4BAF" w:rsidRPr="00F6510A">
        <w:rPr>
          <w:rFonts w:ascii="Times New Roman" w:hAnsi="Times New Roman" w:cs="Times New Roman"/>
        </w:rPr>
        <w:t>0</w:t>
      </w:r>
      <w:r w:rsidR="002A4BAF">
        <w:rPr>
          <w:rFonts w:ascii="Times New Roman" w:hAnsi="Times New Roman" w:cs="Times New Roman"/>
        </w:rPr>
        <w:t>6</w:t>
      </w:r>
      <w:r w:rsidRPr="00F6510A">
        <w:rPr>
          <w:rFonts w:ascii="Times New Roman" w:hAnsi="Times New Roman" w:cs="Times New Roman"/>
        </w:rPr>
        <w:t>, say .0</w:t>
      </w:r>
      <w:r w:rsidR="002A4BAF">
        <w:rPr>
          <w:rFonts w:ascii="Times New Roman" w:hAnsi="Times New Roman" w:cs="Times New Roman"/>
        </w:rPr>
        <w:t>7</w:t>
      </w:r>
      <w:r w:rsidRPr="00F6510A">
        <w:rPr>
          <w:rFonts w:ascii="Times New Roman" w:hAnsi="Times New Roman" w:cs="Times New Roman"/>
        </w:rPr>
        <w:t xml:space="preserve">). The crucial point here is the switch from purely egocentric weights to some other set of weights at time T. While this fixed time T is an obvious simplification of what is likely to be a temporally variable activation, it captures the notion that the controlled “adjustment” process takes time to activate. Moreover, a quick set of simulation exercises show that it does produce the prediction that more divergent values will result in larger RT differences between same and different responses. To see why, see the top row of Figure </w:t>
      </w:r>
      <w:r w:rsidR="001B1D9E">
        <w:rPr>
          <w:rFonts w:ascii="Times New Roman" w:hAnsi="Times New Roman" w:cs="Times New Roman"/>
        </w:rPr>
        <w:t>S</w:t>
      </w:r>
      <w:r w:rsidRPr="00F6510A">
        <w:rPr>
          <w:rFonts w:ascii="Times New Roman" w:hAnsi="Times New Roman" w:cs="Times New Roman"/>
        </w:rPr>
        <w:t xml:space="preserve">1 below. In this figure, we simulated 4 different </w:t>
      </w:r>
      <w:r w:rsidRPr="00F6510A">
        <w:rPr>
          <w:rFonts w:ascii="Times New Roman" w:hAnsi="Times New Roman" w:cs="Times New Roman"/>
        </w:rPr>
        <w:lastRenderedPageBreak/>
        <w:t>scenarios: a scenario in which the initial value for a food using self weights is +.08, but the value once accounting for another person’s preferences switches after 300ms to either -.08, -.01, + .01, or stays the same at .08. We then plot the distributions of choices and RTs, noting how often the simulation would result in different choices being made for the self and other, and by how much the RTs for same or different responses would vary.</w:t>
      </w:r>
    </w:p>
    <w:p w14:paraId="7768E43C" w14:textId="77777777" w:rsidR="004B09E4" w:rsidRPr="00F6510A" w:rsidRDefault="004B09E4" w:rsidP="004B09E4">
      <w:pPr>
        <w:rPr>
          <w:rFonts w:ascii="Times New Roman" w:hAnsi="Times New Roman" w:cs="Times New Roman"/>
        </w:rPr>
      </w:pPr>
      <w:r w:rsidRPr="00F6510A">
        <w:rPr>
          <w:rFonts w:ascii="Times New Roman" w:hAnsi="Times New Roman" w:cs="Times New Roman"/>
        </w:rPr>
        <w:t xml:space="preserve"> </w:t>
      </w:r>
    </w:p>
    <w:p w14:paraId="0E08C9E9" w14:textId="0EBD24EF" w:rsidR="004B09E4" w:rsidRDefault="004B09E4" w:rsidP="004B09E4">
      <w:pPr>
        <w:rPr>
          <w:rFonts w:ascii="Times New Roman" w:hAnsi="Times New Roman" w:cs="Times New Roman"/>
        </w:rPr>
      </w:pPr>
      <w:r w:rsidRPr="00F6510A">
        <w:rPr>
          <w:rFonts w:ascii="Times New Roman" w:hAnsi="Times New Roman" w:cs="Times New Roman"/>
        </w:rPr>
        <w:t xml:space="preserve">As noted, </w:t>
      </w:r>
      <w:r>
        <w:rPr>
          <w:rFonts w:ascii="Times New Roman" w:hAnsi="Times New Roman" w:cs="Times New Roman"/>
        </w:rPr>
        <w:t xml:space="preserve">this </w:t>
      </w:r>
      <w:r w:rsidRPr="00F6510A">
        <w:rPr>
          <w:rFonts w:ascii="Times New Roman" w:hAnsi="Times New Roman" w:cs="Times New Roman"/>
        </w:rPr>
        <w:t>model produces both increasingly divergent choices and increasingly divergent RTs for larger shifts from Self to Other value. For example, when shifting from +.08 to -.08, the model chooses differently from the self 70% of the time, and the average RT when choosing different</w:t>
      </w:r>
      <w:r>
        <w:rPr>
          <w:rFonts w:ascii="Times New Roman" w:hAnsi="Times New Roman" w:cs="Times New Roman"/>
        </w:rPr>
        <w:t>ly</w:t>
      </w:r>
      <w:r w:rsidRPr="00F6510A">
        <w:rPr>
          <w:rFonts w:ascii="Times New Roman" w:hAnsi="Times New Roman" w:cs="Times New Roman"/>
        </w:rPr>
        <w:t xml:space="preserve"> takes nearly 600ms longer than the RT when responding similarly to the self. </w:t>
      </w:r>
      <w:r w:rsidR="00230E45">
        <w:rPr>
          <w:rFonts w:ascii="Times New Roman" w:hAnsi="Times New Roman" w:cs="Times New Roman"/>
        </w:rPr>
        <w:t xml:space="preserve">Note that this RT difference is substantially larger than what we observe in the data. Smaller delays (e.g., 100ms) produce RT differences closer to that in the observed data (i.e., ~100-200ms). </w:t>
      </w:r>
      <w:r w:rsidR="00E47ED5">
        <w:rPr>
          <w:rFonts w:ascii="Times New Roman" w:hAnsi="Times New Roman" w:cs="Times New Roman"/>
        </w:rPr>
        <w:t>Similarly, smaller differences in value also produce smaller differences in RT. W</w:t>
      </w:r>
      <w:r w:rsidRPr="00F6510A">
        <w:rPr>
          <w:rFonts w:ascii="Times New Roman" w:hAnsi="Times New Roman" w:cs="Times New Roman"/>
        </w:rPr>
        <w:t xml:space="preserve">hen the model shifts from +.08 to -.01 (a smaller difference in values), the model chooses differently only 41% of the time, taking only 300ms longer to make a same compared to a different choice. Note that the value for the other need not have a different sign to produce this pattern: when the value shifts from +.08 to +.01 (a weaker but still positive value), we find that this increases the likelihood of making divergent choices (largely due to the decrease in signal-to-noise ratio) and also produces differences in RT between same and different responses. </w:t>
      </w:r>
      <w:r>
        <w:rPr>
          <w:rFonts w:ascii="Times New Roman" w:hAnsi="Times New Roman" w:cs="Times New Roman"/>
        </w:rPr>
        <w:t>And of course, the value for the other need not actually be different at all to produce a different response: given noise in the accumulated evidence, we find that even with an identical underlying value of +.08 for both self and other, one would be expected to make a different choice on a non-trivial fraction of choices (13%).  This percentage would increase if matching values of self and other were closer to zero (i.e. both self and other had a value of +.04 instead of +.08).</w:t>
      </w:r>
    </w:p>
    <w:p w14:paraId="0236A9B8" w14:textId="77777777" w:rsidR="004B09E4" w:rsidRPr="00F6510A" w:rsidRDefault="004B09E4" w:rsidP="004B09E4">
      <w:pPr>
        <w:rPr>
          <w:rFonts w:ascii="Times New Roman" w:hAnsi="Times New Roman" w:cs="Times New Roman"/>
        </w:rPr>
      </w:pPr>
    </w:p>
    <w:p w14:paraId="0619A28F" w14:textId="32BD8D54" w:rsidR="004B09E4" w:rsidRPr="007C17BB" w:rsidRDefault="004B09E4" w:rsidP="004B09E4">
      <w:pPr>
        <w:rPr>
          <w:rFonts w:ascii="Times New Roman" w:hAnsi="Times New Roman" w:cs="Times New Roman"/>
        </w:rPr>
      </w:pPr>
      <w:r>
        <w:rPr>
          <w:rFonts w:ascii="Times New Roman" w:hAnsi="Times New Roman" w:cs="Times New Roman"/>
        </w:rPr>
        <w:t>Why does this</w:t>
      </w:r>
      <w:r w:rsidRPr="007C17BB">
        <w:rPr>
          <w:rFonts w:ascii="Times New Roman" w:hAnsi="Times New Roman" w:cs="Times New Roman"/>
        </w:rPr>
        <w:t xml:space="preserve"> model take longer times for more divergent preferences even when the temporal onset of the self-other shift is fixed? </w:t>
      </w:r>
      <w:r>
        <w:rPr>
          <w:rFonts w:ascii="Times New Roman" w:hAnsi="Times New Roman" w:cs="Times New Roman"/>
        </w:rPr>
        <w:t>For intuition, note</w:t>
      </w:r>
      <w:r w:rsidRPr="007C17BB">
        <w:rPr>
          <w:rFonts w:ascii="Times New Roman" w:hAnsi="Times New Roman" w:cs="Times New Roman"/>
        </w:rPr>
        <w:t xml:space="preserve"> that when the value for the self is strongly positive, the evidence will have accumulated more quickly to the positive bound by time T. When the value shifts to the partner’s preference, it takes </w:t>
      </w:r>
      <w:r w:rsidR="001B1D9E" w:rsidRPr="002A4BAF">
        <w:rPr>
          <w:rFonts w:ascii="Times New Roman" w:hAnsi="Times New Roman" w:cs="Times New Roman"/>
          <w:i/>
        </w:rPr>
        <w:t>longer</w:t>
      </w:r>
      <w:r w:rsidR="001B1D9E" w:rsidRPr="007C17BB">
        <w:rPr>
          <w:rFonts w:ascii="Times New Roman" w:hAnsi="Times New Roman" w:cs="Times New Roman"/>
        </w:rPr>
        <w:t xml:space="preserve"> </w:t>
      </w:r>
      <w:r w:rsidRPr="007C17BB">
        <w:rPr>
          <w:rFonts w:ascii="Times New Roman" w:hAnsi="Times New Roman" w:cs="Times New Roman"/>
        </w:rPr>
        <w:t>for the accumulated evidence to negate the already-accumulated positive evidence and cross the negative-evidence boundary for choice</w:t>
      </w:r>
      <w:r>
        <w:rPr>
          <w:rFonts w:ascii="Times New Roman" w:hAnsi="Times New Roman" w:cs="Times New Roman"/>
        </w:rPr>
        <w:t xml:space="preserve"> (i.e. when it results in a different choice)</w:t>
      </w:r>
      <w:r w:rsidRPr="007C17BB">
        <w:rPr>
          <w:rFonts w:ascii="Times New Roman" w:hAnsi="Times New Roman" w:cs="Times New Roman"/>
        </w:rPr>
        <w:t xml:space="preserve">. In contrast, if the self-value was weaker or closer to the other value, </w:t>
      </w:r>
      <w:r>
        <w:rPr>
          <w:rFonts w:ascii="Times New Roman" w:hAnsi="Times New Roman" w:cs="Times New Roman"/>
        </w:rPr>
        <w:t>accumulated evidence</w:t>
      </w:r>
      <w:r w:rsidRPr="007C17BB">
        <w:rPr>
          <w:rFonts w:ascii="Times New Roman" w:hAnsi="Times New Roman" w:cs="Times New Roman"/>
        </w:rPr>
        <w:t xml:space="preserve"> will not have travelled so far toward one of the bounds, and therefore will require less time for the counteracting evidence to negate. The time T estimated as a parameter in the model thus quantifies the </w:t>
      </w:r>
      <w:r w:rsidRPr="00D30BB4">
        <w:rPr>
          <w:rFonts w:ascii="Times New Roman" w:hAnsi="Times New Roman" w:cs="Times New Roman"/>
          <w:i/>
        </w:rPr>
        <w:t>average</w:t>
      </w:r>
      <w:r w:rsidRPr="007C17BB">
        <w:rPr>
          <w:rFonts w:ascii="Times New Roman" w:hAnsi="Times New Roman" w:cs="Times New Roman"/>
        </w:rPr>
        <w:t xml:space="preserve"> time it takes for the perspective taking mechanism to fully activate.</w:t>
      </w:r>
    </w:p>
    <w:p w14:paraId="207DE999" w14:textId="77777777" w:rsidR="004B09E4" w:rsidRDefault="004B09E4" w:rsidP="004B09E4">
      <w:pPr>
        <w:rPr>
          <w:rFonts w:ascii="Times New Roman" w:hAnsi="Times New Roman" w:cs="Times New Roman"/>
        </w:rPr>
      </w:pPr>
    </w:p>
    <w:p w14:paraId="0E921933" w14:textId="013415F8" w:rsidR="00EB5F40" w:rsidRPr="007C17BB" w:rsidRDefault="00EB5F40" w:rsidP="00EB5F40">
      <w:pPr>
        <w:rPr>
          <w:rFonts w:ascii="Times New Roman" w:hAnsi="Times New Roman" w:cs="Times New Roman"/>
        </w:rPr>
      </w:pPr>
      <w:r w:rsidRPr="007C17BB">
        <w:rPr>
          <w:rFonts w:ascii="Times New Roman" w:hAnsi="Times New Roman" w:cs="Times New Roman"/>
        </w:rPr>
        <w:t>To estimate the best-fitting parameters of this model, we implemented a DDM with 3 fixed parameters (initial weight on taste, initial weight on health, within-trial noise s = .1) and 5 parameters to es</w:t>
      </w:r>
      <w:r>
        <w:rPr>
          <w:rFonts w:ascii="Times New Roman" w:hAnsi="Times New Roman" w:cs="Times New Roman"/>
        </w:rPr>
        <w:t>timate: final weight on taste W</w:t>
      </w:r>
      <w:r>
        <w:rPr>
          <w:rFonts w:ascii="Times New Roman" w:hAnsi="Times New Roman" w:cs="Times New Roman"/>
          <w:vertAlign w:val="subscript"/>
        </w:rPr>
        <w:t>Taste</w:t>
      </w:r>
      <w:r>
        <w:rPr>
          <w:rFonts w:ascii="Times New Roman" w:hAnsi="Times New Roman" w:cs="Times New Roman"/>
        </w:rPr>
        <w:t>, final weight on health W</w:t>
      </w:r>
      <w:r>
        <w:rPr>
          <w:rFonts w:ascii="Times New Roman" w:hAnsi="Times New Roman" w:cs="Times New Roman"/>
          <w:vertAlign w:val="subscript"/>
        </w:rPr>
        <w:t>Health</w:t>
      </w:r>
      <w:r w:rsidRPr="007C17BB">
        <w:rPr>
          <w:rFonts w:ascii="Times New Roman" w:hAnsi="Times New Roman" w:cs="Times New Roman"/>
        </w:rPr>
        <w:t>, decision bou</w:t>
      </w:r>
      <w:r>
        <w:rPr>
          <w:rFonts w:ascii="Times New Roman" w:hAnsi="Times New Roman" w:cs="Times New Roman"/>
        </w:rPr>
        <w:t>ndary z</w:t>
      </w:r>
      <w:r w:rsidRPr="007C17BB">
        <w:rPr>
          <w:rFonts w:ascii="Times New Roman" w:hAnsi="Times New Roman" w:cs="Times New Roman"/>
        </w:rPr>
        <w:t xml:space="preserve">, non-decision time </w:t>
      </w:r>
      <w:r w:rsidRPr="007C17BB">
        <w:rPr>
          <w:rFonts w:ascii="Times New Roman" w:hAnsi="Times New Roman" w:cs="Times New Roman"/>
          <w:i/>
          <w:iCs/>
        </w:rPr>
        <w:t>ter</w:t>
      </w:r>
      <w:r w:rsidRPr="007C17BB">
        <w:rPr>
          <w:rFonts w:ascii="Times New Roman" w:hAnsi="Times New Roman" w:cs="Times New Roman"/>
        </w:rPr>
        <w:t xml:space="preserve">, and time of switch from initial to final weights </w:t>
      </w:r>
      <w:r>
        <w:rPr>
          <w:rFonts w:ascii="Times New Roman" w:hAnsi="Times New Roman" w:cs="Times New Roman"/>
          <w:i/>
          <w:iCs/>
        </w:rPr>
        <w:t>T</w:t>
      </w:r>
      <w:r w:rsidRPr="007C17BB">
        <w:rPr>
          <w:rFonts w:ascii="Times New Roman" w:hAnsi="Times New Roman" w:cs="Times New Roman"/>
        </w:rPr>
        <w:t xml:space="preserve">. We compared this model to a reduced model </w:t>
      </w:r>
      <w:r>
        <w:rPr>
          <w:rFonts w:ascii="Times New Roman" w:hAnsi="Times New Roman" w:cs="Times New Roman"/>
        </w:rPr>
        <w:t xml:space="preserve">(Model 0) </w:t>
      </w:r>
      <w:r w:rsidRPr="007C17BB">
        <w:rPr>
          <w:rFonts w:ascii="Times New Roman" w:hAnsi="Times New Roman" w:cs="Times New Roman"/>
        </w:rPr>
        <w:t xml:space="preserve">in which the time of switch was fixed at 0 (i.e. a model that assumes a single set of weights throughout the trial). Estimated average parameter values for the “dual-process” and “reduced” DDMs are listed in Table </w:t>
      </w:r>
      <w:r>
        <w:rPr>
          <w:rFonts w:ascii="Times New Roman" w:hAnsi="Times New Roman" w:cs="Times New Roman"/>
        </w:rPr>
        <w:t>S</w:t>
      </w:r>
      <w:r w:rsidRPr="007C17BB">
        <w:rPr>
          <w:rFonts w:ascii="Times New Roman" w:hAnsi="Times New Roman" w:cs="Times New Roman"/>
        </w:rPr>
        <w:t>1</w:t>
      </w:r>
      <w:r>
        <w:rPr>
          <w:rFonts w:ascii="Times New Roman" w:hAnsi="Times New Roman" w:cs="Times New Roman"/>
        </w:rPr>
        <w:t xml:space="preserve"> for the Similar </w:t>
      </w:r>
      <w:r w:rsidR="0095530D">
        <w:rPr>
          <w:rFonts w:ascii="Times New Roman" w:hAnsi="Times New Roman" w:cs="Times New Roman"/>
        </w:rPr>
        <w:t xml:space="preserve">and Dissimilar </w:t>
      </w:r>
      <w:r>
        <w:rPr>
          <w:rFonts w:ascii="Times New Roman" w:hAnsi="Times New Roman" w:cs="Times New Roman"/>
        </w:rPr>
        <w:t>other</w:t>
      </w:r>
      <w:r w:rsidR="0095530D">
        <w:rPr>
          <w:rFonts w:ascii="Times New Roman" w:hAnsi="Times New Roman" w:cs="Times New Roman"/>
        </w:rPr>
        <w:t>s</w:t>
      </w:r>
      <w:r w:rsidRPr="007C17BB">
        <w:rPr>
          <w:rFonts w:ascii="Times New Roman" w:hAnsi="Times New Roman" w:cs="Times New Roman"/>
        </w:rPr>
        <w:t>. A c</w:t>
      </w:r>
      <w:r>
        <w:rPr>
          <w:rFonts w:ascii="Times New Roman" w:hAnsi="Times New Roman" w:cs="Times New Roman"/>
        </w:rPr>
        <w:t>omparison of individual BIC values suggested</w:t>
      </w:r>
      <w:r w:rsidRPr="007C17BB">
        <w:rPr>
          <w:rFonts w:ascii="Times New Roman" w:hAnsi="Times New Roman" w:cs="Times New Roman"/>
        </w:rPr>
        <w:t xml:space="preserve"> that the more</w:t>
      </w:r>
      <w:r>
        <w:rPr>
          <w:rFonts w:ascii="Times New Roman" w:hAnsi="Times New Roman" w:cs="Times New Roman"/>
        </w:rPr>
        <w:t xml:space="preserve"> </w:t>
      </w:r>
      <w:r w:rsidRPr="007C17BB">
        <w:rPr>
          <w:rFonts w:ascii="Times New Roman" w:hAnsi="Times New Roman" w:cs="Times New Roman"/>
        </w:rPr>
        <w:t>complex dual-process model</w:t>
      </w:r>
      <w:r w:rsidR="003C6DD1">
        <w:rPr>
          <w:rFonts w:ascii="Times New Roman" w:hAnsi="Times New Roman" w:cs="Times New Roman"/>
        </w:rPr>
        <w:t>s</w:t>
      </w:r>
      <w:r w:rsidRPr="007C17BB">
        <w:rPr>
          <w:rFonts w:ascii="Times New Roman" w:hAnsi="Times New Roman" w:cs="Times New Roman"/>
        </w:rPr>
        <w:t xml:space="preserve"> fit the data better in </w:t>
      </w:r>
      <w:r w:rsidR="003C6DD1">
        <w:rPr>
          <w:rFonts w:ascii="Times New Roman" w:hAnsi="Times New Roman" w:cs="Times New Roman"/>
        </w:rPr>
        <w:t>only a small minority of the</w:t>
      </w:r>
      <w:r w:rsidRPr="007C17BB">
        <w:rPr>
          <w:rFonts w:ascii="Times New Roman" w:hAnsi="Times New Roman" w:cs="Times New Roman"/>
        </w:rPr>
        <w:t xml:space="preserve"> 38 participants</w:t>
      </w:r>
      <w:r w:rsidR="003C6DD1">
        <w:rPr>
          <w:rFonts w:ascii="Times New Roman" w:hAnsi="Times New Roman" w:cs="Times New Roman"/>
        </w:rPr>
        <w:t>, while the majority were fit better by the simplest, constant-value model</w:t>
      </w:r>
      <w:r w:rsidRPr="007C17BB">
        <w:rPr>
          <w:rFonts w:ascii="Times New Roman" w:hAnsi="Times New Roman" w:cs="Times New Roman"/>
        </w:rPr>
        <w:t xml:space="preserve">. Moreover, this model </w:t>
      </w:r>
      <w:r>
        <w:rPr>
          <w:rFonts w:ascii="Times New Roman" w:hAnsi="Times New Roman" w:cs="Times New Roman"/>
        </w:rPr>
        <w:lastRenderedPageBreak/>
        <w:t>failed to</w:t>
      </w:r>
      <w:r w:rsidRPr="007C17BB">
        <w:rPr>
          <w:rFonts w:ascii="Times New Roman" w:hAnsi="Times New Roman" w:cs="Times New Roman"/>
        </w:rPr>
        <w:t xml:space="preserve"> </w:t>
      </w:r>
      <w:r>
        <w:rPr>
          <w:rFonts w:ascii="Times New Roman" w:hAnsi="Times New Roman" w:cs="Times New Roman"/>
        </w:rPr>
        <w:t>significantly improve fits to either overall average RTs or the RT difference between same and different choices.</w:t>
      </w:r>
    </w:p>
    <w:p w14:paraId="6D270FB2" w14:textId="77777777" w:rsidR="00EB5F40" w:rsidRPr="00F6510A" w:rsidRDefault="00EB5F40" w:rsidP="004B09E4">
      <w:pPr>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4B09E4" w:rsidRPr="00276FDE" w14:paraId="10AD18CE" w14:textId="77777777" w:rsidTr="008043B8">
        <w:tc>
          <w:tcPr>
            <w:tcW w:w="9576" w:type="dxa"/>
            <w:tcBorders>
              <w:bottom w:val="nil"/>
            </w:tcBorders>
          </w:tcPr>
          <w:p w14:paraId="19774C0C" w14:textId="7981F655" w:rsidR="004B09E4" w:rsidRPr="00276FDE" w:rsidRDefault="00EB5F40" w:rsidP="00EB5F40">
            <w:pPr>
              <w:jc w:val="center"/>
              <w:rPr>
                <w:rFonts w:ascii="Times New Roman" w:hAnsi="Times New Roman" w:cs="Times New Roman"/>
              </w:rPr>
            </w:pPr>
            <w:r w:rsidRPr="003A396C">
              <w:rPr>
                <w:rFonts w:ascii="Times New Roman" w:hAnsi="Times New Roman" w:cs="Times New Roman"/>
                <w:noProof/>
              </w:rPr>
              <w:drawing>
                <wp:inline distT="0" distB="0" distL="0" distR="0" wp14:anchorId="0FC4A283" wp14:editId="2AEC3CAC">
                  <wp:extent cx="5524500" cy="55245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p>
        </w:tc>
      </w:tr>
      <w:tr w:rsidR="004B09E4" w:rsidRPr="00276FDE" w14:paraId="3BD2A553" w14:textId="77777777" w:rsidTr="008043B8">
        <w:tc>
          <w:tcPr>
            <w:tcW w:w="9576" w:type="dxa"/>
            <w:tcBorders>
              <w:top w:val="nil"/>
            </w:tcBorders>
          </w:tcPr>
          <w:p w14:paraId="5B9D47A6" w14:textId="0F09A5DE" w:rsidR="004B09E4" w:rsidRPr="00276FDE" w:rsidRDefault="004B09E4" w:rsidP="00EB5F40">
            <w:pPr>
              <w:rPr>
                <w:rFonts w:ascii="Times New Roman" w:hAnsi="Times New Roman" w:cs="Times New Roman"/>
              </w:rPr>
            </w:pPr>
            <w:r w:rsidRPr="00276FDE">
              <w:rPr>
                <w:rFonts w:ascii="Times New Roman" w:hAnsi="Times New Roman" w:cs="Times New Roman"/>
                <w:b/>
                <w:bCs/>
              </w:rPr>
              <w:t xml:space="preserve">Figure </w:t>
            </w:r>
            <w:r w:rsidR="001B1D9E">
              <w:rPr>
                <w:rFonts w:ascii="Times New Roman" w:hAnsi="Times New Roman" w:cs="Times New Roman"/>
                <w:b/>
                <w:bCs/>
              </w:rPr>
              <w:t>S</w:t>
            </w:r>
            <w:r w:rsidRPr="00276FDE">
              <w:rPr>
                <w:rFonts w:ascii="Times New Roman" w:hAnsi="Times New Roman" w:cs="Times New Roman"/>
                <w:b/>
                <w:bCs/>
              </w:rPr>
              <w:t>1. Simulated distributions of choices and RT for divergent self-other preferences.</w:t>
            </w:r>
            <w:r w:rsidRPr="00276FDE">
              <w:rPr>
                <w:rFonts w:ascii="Times New Roman" w:hAnsi="Times New Roman" w:cs="Times New Roman"/>
              </w:rPr>
              <w:t xml:space="preserve"> Depicted plots show the distribution of choices (red = YES, blue = NO) and response times (x-axis), assuming that the decision maker has a positive value of +.08 (arbitrary value units) for a food in their egocentric preferences, and that this value shifts after 300ms to some other value (-.08, -.01, +.01, and +.08) that reflects their assumptions about the preference of the other person. Thus, giving a “YES” response constitutes choosing similarly for self and other, while giving a “NO” response constitutes giving choosing differently. Cumulative likelihood of giving a different response, as well as average RT for same and different responses, is indicated in the upper corner of each panel. The top row shows predictions from a model in </w:t>
            </w:r>
            <w:r w:rsidR="00EB5F40">
              <w:rPr>
                <w:rFonts w:ascii="Times New Roman" w:hAnsi="Times New Roman" w:cs="Times New Roman"/>
              </w:rPr>
              <w:t>with a delayed but instantaneous shift from self to other</w:t>
            </w:r>
            <w:r w:rsidRPr="00276FDE">
              <w:rPr>
                <w:rFonts w:ascii="Times New Roman" w:hAnsi="Times New Roman" w:cs="Times New Roman"/>
              </w:rPr>
              <w:t xml:space="preserve">. </w:t>
            </w:r>
            <w:r w:rsidR="00EB5F40">
              <w:rPr>
                <w:rFonts w:ascii="Times New Roman" w:hAnsi="Times New Roman" w:cs="Times New Roman"/>
              </w:rPr>
              <w:t xml:space="preserve">The middle row shows the effects of an immediate but gradual shift, with larger shifts taking longer amounts of time to fully transition from self to other. </w:t>
            </w:r>
            <w:r w:rsidRPr="00276FDE">
              <w:rPr>
                <w:rFonts w:ascii="Times New Roman" w:hAnsi="Times New Roman" w:cs="Times New Roman"/>
              </w:rPr>
              <w:t xml:space="preserve">The bottom row shows predictions from a model </w:t>
            </w:r>
            <w:r w:rsidR="00EB5F40">
              <w:rPr>
                <w:rFonts w:ascii="Times New Roman" w:hAnsi="Times New Roman" w:cs="Times New Roman"/>
              </w:rPr>
              <w:t>with both a delay and a gradual shift</w:t>
            </w:r>
            <w:r w:rsidRPr="00276FDE">
              <w:rPr>
                <w:rFonts w:ascii="Times New Roman" w:hAnsi="Times New Roman" w:cs="Times New Roman"/>
              </w:rPr>
              <w:t>.</w:t>
            </w:r>
          </w:p>
        </w:tc>
      </w:tr>
    </w:tbl>
    <w:p w14:paraId="38101056" w14:textId="715E8FBA" w:rsidR="004B09E4" w:rsidRDefault="004B09E4" w:rsidP="004B09E4">
      <w:pPr>
        <w:rPr>
          <w:rFonts w:ascii="Times New Roman" w:hAnsi="Times New Roman" w:cs="Times New Roman"/>
          <w:iCs/>
        </w:rPr>
      </w:pPr>
      <w:r>
        <w:rPr>
          <w:rFonts w:ascii="Times New Roman" w:hAnsi="Times New Roman" w:cs="Times New Roman"/>
          <w:i/>
          <w:iCs/>
        </w:rPr>
        <w:lastRenderedPageBreak/>
        <w:t>Model 2</w:t>
      </w:r>
      <w:r w:rsidRPr="00F6510A">
        <w:rPr>
          <w:rFonts w:ascii="Times New Roman" w:hAnsi="Times New Roman" w:cs="Times New Roman"/>
          <w:i/>
          <w:iCs/>
        </w:rPr>
        <w:t xml:space="preserve">: </w:t>
      </w:r>
      <w:r>
        <w:rPr>
          <w:rFonts w:ascii="Times New Roman" w:hAnsi="Times New Roman" w:cs="Times New Roman"/>
          <w:i/>
          <w:iCs/>
        </w:rPr>
        <w:t>Gradual</w:t>
      </w:r>
      <w:r w:rsidRPr="00F6510A">
        <w:rPr>
          <w:rFonts w:ascii="Times New Roman" w:hAnsi="Times New Roman" w:cs="Times New Roman"/>
          <w:i/>
          <w:iCs/>
        </w:rPr>
        <w:t xml:space="preserve"> shift </w:t>
      </w:r>
      <w:r>
        <w:rPr>
          <w:rFonts w:ascii="Times New Roman" w:hAnsi="Times New Roman" w:cs="Times New Roman"/>
          <w:i/>
          <w:iCs/>
        </w:rPr>
        <w:t>in taste and health weights.</w:t>
      </w:r>
      <w:r>
        <w:rPr>
          <w:rFonts w:ascii="Times New Roman" w:hAnsi="Times New Roman" w:cs="Times New Roman"/>
          <w:iCs/>
        </w:rPr>
        <w:t xml:space="preserve"> In Model 1, we assumed an immediate shift in values at some time-point T, but some versions of an anchoring-and-adjustment model suggest that the shift should be gradual and proportional to the difference between the egocentric anchor and the adjusted value based on perspective taking. To implement this computationally, we introduced a rate parameter </w:t>
      </w:r>
      <w:r>
        <w:rPr>
          <w:rFonts w:ascii="Times New Roman" w:hAnsi="Times New Roman" w:cs="Times New Roman"/>
          <w:i/>
          <w:iCs/>
        </w:rPr>
        <w:t>r</w:t>
      </w:r>
      <w:r>
        <w:rPr>
          <w:rFonts w:ascii="Times New Roman" w:hAnsi="Times New Roman" w:cs="Times New Roman"/>
          <w:iCs/>
        </w:rPr>
        <w:t xml:space="preserve"> that governs how long it takes to shift from one value to another, with the assumption that the drift rate takes on intermediate values during that shift. For example, a rate </w:t>
      </w:r>
      <w:r>
        <w:rPr>
          <w:rFonts w:ascii="Times New Roman" w:hAnsi="Times New Roman" w:cs="Times New Roman"/>
          <w:i/>
          <w:iCs/>
        </w:rPr>
        <w:t xml:space="preserve">r </w:t>
      </w:r>
      <w:r>
        <w:rPr>
          <w:rFonts w:ascii="Times New Roman" w:hAnsi="Times New Roman" w:cs="Times New Roman"/>
          <w:iCs/>
        </w:rPr>
        <w:t xml:space="preserve">= .32 suggests that the evidence shifts at a rate of .32 value units/sec. Thus, a shift from a value of +.08 to -.08 would take 500ms, with the evidence during that time changing continuously from +.08 until it reaches the new value of -.08. As can be seen in Figure </w:t>
      </w:r>
      <w:r w:rsidR="00706702">
        <w:rPr>
          <w:rFonts w:ascii="Times New Roman" w:hAnsi="Times New Roman" w:cs="Times New Roman"/>
          <w:iCs/>
        </w:rPr>
        <w:t>S</w:t>
      </w:r>
      <w:r>
        <w:rPr>
          <w:rFonts w:ascii="Times New Roman" w:hAnsi="Times New Roman" w:cs="Times New Roman"/>
          <w:iCs/>
        </w:rPr>
        <w:t>1 (</w:t>
      </w:r>
      <w:r w:rsidR="00DD44B3">
        <w:rPr>
          <w:rFonts w:ascii="Times New Roman" w:hAnsi="Times New Roman" w:cs="Times New Roman"/>
          <w:iCs/>
        </w:rPr>
        <w:t>middle</w:t>
      </w:r>
      <w:r>
        <w:rPr>
          <w:rFonts w:ascii="Times New Roman" w:hAnsi="Times New Roman" w:cs="Times New Roman"/>
          <w:iCs/>
        </w:rPr>
        <w:t xml:space="preserve">), this produces a smoother transition between old and new values, </w:t>
      </w:r>
      <w:r w:rsidR="00DD44B3">
        <w:rPr>
          <w:rFonts w:ascii="Times New Roman" w:hAnsi="Times New Roman" w:cs="Times New Roman"/>
          <w:iCs/>
        </w:rPr>
        <w:t xml:space="preserve">and shows more subtle effects, </w:t>
      </w:r>
      <w:r>
        <w:rPr>
          <w:rFonts w:ascii="Times New Roman" w:hAnsi="Times New Roman" w:cs="Times New Roman"/>
          <w:iCs/>
        </w:rPr>
        <w:t xml:space="preserve">but otherwise has similar properties to the Model with an immediate shift in weights – most notably producing differences in RT between same and different responses. In Model 2, we assumed that this gradual transition begins at time T = 0. Thus, Model 2, like Model 1, had 5 free parameters: weights on taste and health, threshold </w:t>
      </w:r>
      <w:r w:rsidR="00B61C21">
        <w:rPr>
          <w:rFonts w:ascii="Times New Roman" w:hAnsi="Times New Roman" w:cs="Times New Roman"/>
          <w:i/>
          <w:iCs/>
        </w:rPr>
        <w:t>Z</w:t>
      </w:r>
      <w:r>
        <w:rPr>
          <w:rFonts w:ascii="Times New Roman" w:hAnsi="Times New Roman" w:cs="Times New Roman"/>
          <w:iCs/>
        </w:rPr>
        <w:t xml:space="preserve">, non-decision time </w:t>
      </w:r>
      <w:r w:rsidRPr="002A4BAF">
        <w:rPr>
          <w:rFonts w:ascii="Times New Roman" w:hAnsi="Times New Roman" w:cs="Times New Roman"/>
          <w:i/>
          <w:iCs/>
        </w:rPr>
        <w:t>ter</w:t>
      </w:r>
      <w:r>
        <w:rPr>
          <w:rFonts w:ascii="Times New Roman" w:hAnsi="Times New Roman" w:cs="Times New Roman"/>
          <w:iCs/>
        </w:rPr>
        <w:t xml:space="preserve">, and the rate of change </w:t>
      </w:r>
      <w:r>
        <w:rPr>
          <w:rFonts w:ascii="Times New Roman" w:hAnsi="Times New Roman" w:cs="Times New Roman"/>
          <w:i/>
          <w:iCs/>
        </w:rPr>
        <w:t xml:space="preserve">r. </w:t>
      </w:r>
      <w:r>
        <w:rPr>
          <w:rFonts w:ascii="Times New Roman" w:hAnsi="Times New Roman" w:cs="Times New Roman"/>
          <w:iCs/>
        </w:rPr>
        <w:t xml:space="preserve">As with Model 1, however, we found little evidence that this model provided a better fit to the data than Model 0, either as measured by overall BIC, or as measured by the number of individuals fit better by the more complex model (see Table </w:t>
      </w:r>
      <w:r w:rsidR="00706702">
        <w:rPr>
          <w:rFonts w:ascii="Times New Roman" w:hAnsi="Times New Roman" w:cs="Times New Roman"/>
          <w:iCs/>
        </w:rPr>
        <w:t>S</w:t>
      </w:r>
      <w:r>
        <w:rPr>
          <w:rFonts w:ascii="Times New Roman" w:hAnsi="Times New Roman" w:cs="Times New Roman"/>
          <w:iCs/>
        </w:rPr>
        <w:t>1 for details).</w:t>
      </w:r>
    </w:p>
    <w:p w14:paraId="5B4F7C85" w14:textId="77777777" w:rsidR="004B09E4" w:rsidRDefault="004B09E4" w:rsidP="004B09E4">
      <w:pPr>
        <w:rPr>
          <w:rFonts w:ascii="Times New Roman" w:hAnsi="Times New Roman" w:cs="Times New Roman"/>
          <w:iCs/>
        </w:rPr>
      </w:pPr>
    </w:p>
    <w:p w14:paraId="1368ECE3" w14:textId="31B8A0AC" w:rsidR="004B09E4" w:rsidRDefault="004B09E4" w:rsidP="004B09E4">
      <w:pPr>
        <w:rPr>
          <w:rFonts w:ascii="Times New Roman" w:hAnsi="Times New Roman" w:cs="Times New Roman"/>
          <w:iCs/>
        </w:rPr>
      </w:pPr>
      <w:r>
        <w:rPr>
          <w:rFonts w:ascii="Times New Roman" w:hAnsi="Times New Roman" w:cs="Times New Roman"/>
          <w:i/>
          <w:iCs/>
        </w:rPr>
        <w:t xml:space="preserve">Model 3. Delayed, gradual shift in taste and health weights. </w:t>
      </w:r>
      <w:r>
        <w:rPr>
          <w:rFonts w:ascii="Times New Roman" w:hAnsi="Times New Roman" w:cs="Times New Roman"/>
          <w:iCs/>
        </w:rPr>
        <w:t xml:space="preserve">Finally, we asked whether a combination of both a delay and a gradual shift in weights might better account for the data. This model had 6 free parameters: weights on taste and health, threshold, non-decision time, the time T at which weights shifted from </w:t>
      </w:r>
      <w:r>
        <w:rPr>
          <w:rFonts w:ascii="Times New Roman" w:hAnsi="Times New Roman" w:cs="Times New Roman"/>
          <w:i/>
          <w:iCs/>
        </w:rPr>
        <w:t>Own</w:t>
      </w:r>
      <w:r>
        <w:rPr>
          <w:rFonts w:ascii="Times New Roman" w:hAnsi="Times New Roman" w:cs="Times New Roman"/>
          <w:iCs/>
        </w:rPr>
        <w:t xml:space="preserve"> self (estimated from </w:t>
      </w:r>
      <w:r>
        <w:rPr>
          <w:rFonts w:ascii="Times New Roman" w:hAnsi="Times New Roman" w:cs="Times New Roman"/>
          <w:i/>
          <w:iCs/>
        </w:rPr>
        <w:t xml:space="preserve">Own </w:t>
      </w:r>
      <w:r>
        <w:rPr>
          <w:rFonts w:ascii="Times New Roman" w:hAnsi="Times New Roman" w:cs="Times New Roman"/>
          <w:iCs/>
        </w:rPr>
        <w:t xml:space="preserve">trials) to </w:t>
      </w:r>
      <w:r>
        <w:rPr>
          <w:rFonts w:ascii="Times New Roman" w:hAnsi="Times New Roman" w:cs="Times New Roman"/>
          <w:i/>
          <w:iCs/>
        </w:rPr>
        <w:t>Similar</w:t>
      </w:r>
      <w:r>
        <w:rPr>
          <w:rFonts w:ascii="Times New Roman" w:hAnsi="Times New Roman" w:cs="Times New Roman"/>
          <w:iCs/>
        </w:rPr>
        <w:t xml:space="preserve"> other weights (fitted to the data), as well as the rate </w:t>
      </w:r>
      <w:r>
        <w:rPr>
          <w:rFonts w:ascii="Times New Roman" w:hAnsi="Times New Roman" w:cs="Times New Roman"/>
          <w:i/>
          <w:iCs/>
        </w:rPr>
        <w:t>r</w:t>
      </w:r>
      <w:r>
        <w:rPr>
          <w:rFonts w:ascii="Times New Roman" w:hAnsi="Times New Roman" w:cs="Times New Roman"/>
          <w:iCs/>
        </w:rPr>
        <w:t xml:space="preserve"> at which it shifted. </w:t>
      </w:r>
      <w:r w:rsidR="00A15E4D">
        <w:rPr>
          <w:rFonts w:ascii="Times New Roman" w:hAnsi="Times New Roman" w:cs="Times New Roman"/>
          <w:iCs/>
        </w:rPr>
        <w:t>See Figure S1 (</w:t>
      </w:r>
      <w:r w:rsidR="00D419EC">
        <w:rPr>
          <w:rFonts w:ascii="Times New Roman" w:hAnsi="Times New Roman" w:cs="Times New Roman"/>
          <w:iCs/>
        </w:rPr>
        <w:t>bottom</w:t>
      </w:r>
      <w:r w:rsidR="00A15E4D">
        <w:rPr>
          <w:rFonts w:ascii="Times New Roman" w:hAnsi="Times New Roman" w:cs="Times New Roman"/>
          <w:iCs/>
        </w:rPr>
        <w:t>)</w:t>
      </w:r>
      <w:r w:rsidR="00D419EC">
        <w:rPr>
          <w:rFonts w:ascii="Times New Roman" w:hAnsi="Times New Roman" w:cs="Times New Roman"/>
          <w:iCs/>
        </w:rPr>
        <w:t xml:space="preserve"> for example response and RT distributions. </w:t>
      </w:r>
      <w:r>
        <w:rPr>
          <w:rFonts w:ascii="Times New Roman" w:hAnsi="Times New Roman" w:cs="Times New Roman"/>
          <w:iCs/>
        </w:rPr>
        <w:t>This model also failed to provide a parsimonious account of the data as measured by either total BIC or by the number of individual subjects fit best by this model.</w:t>
      </w:r>
    </w:p>
    <w:p w14:paraId="7E631602" w14:textId="77777777" w:rsidR="00B31D43" w:rsidRDefault="00B31D43" w:rsidP="004B09E4">
      <w:pPr>
        <w:rPr>
          <w:rFonts w:ascii="Times New Roman" w:hAnsi="Times New Roman" w:cs="Times New Roman"/>
          <w:iCs/>
        </w:rPr>
      </w:pPr>
    </w:p>
    <w:p w14:paraId="3A503859" w14:textId="0A707D9F" w:rsidR="00B31D43" w:rsidRPr="00B31D43" w:rsidRDefault="00B31D43" w:rsidP="004B09E4">
      <w:pPr>
        <w:rPr>
          <w:rFonts w:ascii="Times New Roman" w:hAnsi="Times New Roman" w:cs="Times New Roman"/>
          <w:iCs/>
        </w:rPr>
      </w:pPr>
      <w:r>
        <w:rPr>
          <w:rFonts w:ascii="Times New Roman" w:hAnsi="Times New Roman" w:cs="Times New Roman"/>
          <w:i/>
          <w:iCs/>
        </w:rPr>
        <w:t>Alternative Models – Self as Attribute.</w:t>
      </w:r>
      <w:r>
        <w:rPr>
          <w:rFonts w:ascii="Times New Roman" w:hAnsi="Times New Roman" w:cs="Times New Roman"/>
          <w:iCs/>
        </w:rPr>
        <w:t xml:space="preserve"> The models described above use taste and health attributes with self-weights as the “anchor.” However, it is possible that people’s </w:t>
      </w:r>
      <w:r w:rsidR="00BE3C90">
        <w:rPr>
          <w:rFonts w:ascii="Times New Roman" w:hAnsi="Times New Roman" w:cs="Times New Roman"/>
          <w:i/>
          <w:iCs/>
        </w:rPr>
        <w:t>Own</w:t>
      </w:r>
      <w:r w:rsidR="00BE3C90">
        <w:rPr>
          <w:rFonts w:ascii="Times New Roman" w:hAnsi="Times New Roman" w:cs="Times New Roman"/>
          <w:iCs/>
        </w:rPr>
        <w:t xml:space="preserve"> </w:t>
      </w:r>
      <w:r>
        <w:rPr>
          <w:rFonts w:ascii="Times New Roman" w:hAnsi="Times New Roman" w:cs="Times New Roman"/>
          <w:iCs/>
        </w:rPr>
        <w:t xml:space="preserve">preference includes other attributes besides health and taste, and that they use this preference with some weight or certainty during the “anchor” phase of the choice before switching to the perspective of the other person based on their knowledge and inferences about that person. We thus ran a second set of models using this alternative specification. More specifically, rather than using taste and health as attributes, we used the </w:t>
      </w:r>
      <w:r w:rsidR="00BE3C90">
        <w:rPr>
          <w:rFonts w:ascii="Times New Roman" w:hAnsi="Times New Roman" w:cs="Times New Roman"/>
          <w:iCs/>
        </w:rPr>
        <w:t>decision values</w:t>
      </w:r>
      <w:r>
        <w:rPr>
          <w:rFonts w:ascii="Times New Roman" w:hAnsi="Times New Roman" w:cs="Times New Roman"/>
          <w:iCs/>
        </w:rPr>
        <w:t xml:space="preserve"> for one’s </w:t>
      </w:r>
      <w:r>
        <w:rPr>
          <w:rFonts w:ascii="Times New Roman" w:hAnsi="Times New Roman" w:cs="Times New Roman"/>
          <w:i/>
          <w:iCs/>
        </w:rPr>
        <w:t>Own</w:t>
      </w:r>
      <w:r>
        <w:rPr>
          <w:rFonts w:ascii="Times New Roman" w:hAnsi="Times New Roman" w:cs="Times New Roman"/>
          <w:iCs/>
        </w:rPr>
        <w:t xml:space="preserve"> self (i.e., Strong No to Strong Yes) as one attribute, and the </w:t>
      </w:r>
      <w:r w:rsidR="00BE3C90">
        <w:rPr>
          <w:rFonts w:ascii="Times New Roman" w:hAnsi="Times New Roman" w:cs="Times New Roman"/>
          <w:iCs/>
        </w:rPr>
        <w:t>decision values</w:t>
      </w:r>
      <w:r>
        <w:rPr>
          <w:rFonts w:ascii="Times New Roman" w:hAnsi="Times New Roman" w:cs="Times New Roman"/>
          <w:iCs/>
        </w:rPr>
        <w:t xml:space="preserve"> </w:t>
      </w:r>
      <w:r w:rsidR="00BE3C90">
        <w:rPr>
          <w:rFonts w:ascii="Times New Roman" w:hAnsi="Times New Roman" w:cs="Times New Roman"/>
          <w:iCs/>
        </w:rPr>
        <w:t>from</w:t>
      </w:r>
      <w:r>
        <w:rPr>
          <w:rFonts w:ascii="Times New Roman" w:hAnsi="Times New Roman" w:cs="Times New Roman"/>
          <w:iCs/>
        </w:rPr>
        <w:t xml:space="preserve"> the target recipient (collected in a separate session) as the other attribute, with weights applied to these two attributes similarly as those applied to taste and health in the models above. We then tested both constant-value and time-varying versions of these models in exactly the same way as described above. However, these models also failed to show clear evidence of anchoring and adjustment. We thus focus our report here and in the paper </w:t>
      </w:r>
      <w:r w:rsidR="00F414BC">
        <w:rPr>
          <w:rFonts w:ascii="Times New Roman" w:hAnsi="Times New Roman" w:cs="Times New Roman"/>
          <w:iCs/>
        </w:rPr>
        <w:t xml:space="preserve">primarily </w:t>
      </w:r>
      <w:r>
        <w:rPr>
          <w:rFonts w:ascii="Times New Roman" w:hAnsi="Times New Roman" w:cs="Times New Roman"/>
          <w:iCs/>
        </w:rPr>
        <w:t>on the taste-and-health models for consistency</w:t>
      </w:r>
      <w:r w:rsidR="00F414BC">
        <w:rPr>
          <w:rFonts w:ascii="Times New Roman" w:hAnsi="Times New Roman" w:cs="Times New Roman"/>
          <w:iCs/>
        </w:rPr>
        <w:t xml:space="preserve"> and clarity.</w:t>
      </w:r>
    </w:p>
    <w:p w14:paraId="3B546987" w14:textId="12B78D74" w:rsidR="004B09E4" w:rsidRDefault="004B09E4" w:rsidP="004B09E4">
      <w:pPr>
        <w:rPr>
          <w:rFonts w:ascii="Times New Roman" w:hAnsi="Times New Roman" w:cs="Times New Roman"/>
          <w:iCs/>
        </w:rPr>
      </w:pPr>
    </w:p>
    <w:p w14:paraId="26BA68C5" w14:textId="585207EF" w:rsidR="00BE3C90" w:rsidRDefault="00BE3C90" w:rsidP="004B09E4">
      <w:pPr>
        <w:rPr>
          <w:rFonts w:ascii="Times New Roman" w:hAnsi="Times New Roman" w:cs="Times New Roman"/>
          <w:iCs/>
        </w:rPr>
      </w:pPr>
    </w:p>
    <w:p w14:paraId="5E0748C5" w14:textId="08B5AE04" w:rsidR="00BE3C90" w:rsidRDefault="00BE3C90" w:rsidP="004B09E4">
      <w:pPr>
        <w:rPr>
          <w:rFonts w:ascii="Times New Roman" w:hAnsi="Times New Roman" w:cs="Times New Roman"/>
          <w:iCs/>
        </w:rPr>
      </w:pPr>
    </w:p>
    <w:p w14:paraId="3CE17D89" w14:textId="77777777" w:rsidR="00BE3C90" w:rsidRDefault="00BE3C90" w:rsidP="004B09E4">
      <w:pPr>
        <w:rPr>
          <w:rFonts w:ascii="Times New Roman" w:hAnsi="Times New Roman" w:cs="Times New Roman"/>
          <w:iCs/>
        </w:rPr>
      </w:pPr>
    </w:p>
    <w:p w14:paraId="3015AB79" w14:textId="77777777" w:rsidR="00BE3C90" w:rsidRDefault="00BE3C90" w:rsidP="004B09E4">
      <w:pPr>
        <w:rPr>
          <w:rFonts w:ascii="Times New Roman" w:hAnsi="Times New Roman" w:cs="Times New Roman"/>
          <w:iCs/>
        </w:rPr>
      </w:pPr>
    </w:p>
    <w:p w14:paraId="5A80EC7F" w14:textId="77777777" w:rsidR="00F414BC" w:rsidRDefault="00F414BC" w:rsidP="004B09E4">
      <w:pPr>
        <w:rPr>
          <w:rFonts w:ascii="Times New Roman" w:hAnsi="Times New Roman" w:cs="Times New Roman"/>
          <w:iCs/>
        </w:rPr>
      </w:pPr>
    </w:p>
    <w:p w14:paraId="30612833" w14:textId="181094B3" w:rsidR="004B09E4" w:rsidRPr="00856B7F" w:rsidRDefault="004B09E4" w:rsidP="004B09E4">
      <w:pPr>
        <w:rPr>
          <w:rFonts w:ascii="Times New Roman" w:hAnsi="Times New Roman" w:cs="Times New Roman"/>
          <w:b/>
        </w:rPr>
      </w:pPr>
      <w:r w:rsidRPr="00856B7F">
        <w:rPr>
          <w:rFonts w:ascii="Times New Roman" w:hAnsi="Times New Roman" w:cs="Times New Roman"/>
          <w:b/>
        </w:rPr>
        <w:lastRenderedPageBreak/>
        <w:t xml:space="preserve">Table </w:t>
      </w:r>
      <w:r w:rsidR="00CA7D3B">
        <w:rPr>
          <w:rFonts w:ascii="Times New Roman" w:hAnsi="Times New Roman" w:cs="Times New Roman"/>
          <w:b/>
        </w:rPr>
        <w:t>S</w:t>
      </w:r>
      <w:r w:rsidRPr="00856B7F">
        <w:rPr>
          <w:rFonts w:ascii="Times New Roman" w:hAnsi="Times New Roman" w:cs="Times New Roman"/>
          <w:b/>
        </w:rPr>
        <w:t>1. Time-Varying Model Comparisons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50"/>
        <w:gridCol w:w="851"/>
        <w:gridCol w:w="850"/>
        <w:gridCol w:w="851"/>
        <w:gridCol w:w="708"/>
        <w:gridCol w:w="851"/>
        <w:gridCol w:w="993"/>
        <w:gridCol w:w="992"/>
        <w:gridCol w:w="851"/>
        <w:gridCol w:w="708"/>
      </w:tblGrid>
      <w:tr w:rsidR="004B09E4" w:rsidRPr="00C32176" w14:paraId="0E8EB096" w14:textId="77777777" w:rsidTr="008043B8">
        <w:trPr>
          <w:trHeight w:val="300"/>
        </w:trPr>
        <w:tc>
          <w:tcPr>
            <w:tcW w:w="1008" w:type="dxa"/>
            <w:tcBorders>
              <w:top w:val="single" w:sz="4" w:space="0" w:color="auto"/>
              <w:left w:val="single" w:sz="4" w:space="0" w:color="auto"/>
              <w:bottom w:val="nil"/>
              <w:right w:val="nil"/>
            </w:tcBorders>
            <w:shd w:val="clear" w:color="auto" w:fill="auto"/>
            <w:noWrap/>
            <w:vAlign w:val="bottom"/>
            <w:hideMark/>
          </w:tcPr>
          <w:p w14:paraId="1A50034C" w14:textId="77777777" w:rsidR="004B09E4" w:rsidRPr="007D7D65" w:rsidRDefault="004B09E4" w:rsidP="008043B8">
            <w:pP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Model</w:t>
            </w:r>
          </w:p>
        </w:tc>
        <w:tc>
          <w:tcPr>
            <w:tcW w:w="850" w:type="dxa"/>
            <w:tcBorders>
              <w:top w:val="single" w:sz="4" w:space="0" w:color="auto"/>
              <w:left w:val="nil"/>
              <w:bottom w:val="nil"/>
              <w:right w:val="nil"/>
            </w:tcBorders>
            <w:shd w:val="clear" w:color="auto" w:fill="auto"/>
            <w:noWrap/>
            <w:vAlign w:val="bottom"/>
            <w:hideMark/>
          </w:tcPr>
          <w:p w14:paraId="0A9B3B20"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W</w:t>
            </w:r>
            <w:r w:rsidRPr="007D7D65">
              <w:rPr>
                <w:rFonts w:ascii="Times New Roman" w:eastAsia="Times New Roman" w:hAnsi="Times New Roman" w:cs="Times New Roman"/>
                <w:color w:val="000000"/>
                <w:u w:val="single"/>
                <w:vertAlign w:val="subscript"/>
                <w:lang w:val="en-CA"/>
              </w:rPr>
              <w:t>taste</w:t>
            </w:r>
          </w:p>
        </w:tc>
        <w:tc>
          <w:tcPr>
            <w:tcW w:w="851" w:type="dxa"/>
            <w:tcBorders>
              <w:top w:val="single" w:sz="4" w:space="0" w:color="auto"/>
              <w:left w:val="nil"/>
              <w:bottom w:val="nil"/>
              <w:right w:val="nil"/>
            </w:tcBorders>
            <w:shd w:val="clear" w:color="auto" w:fill="auto"/>
            <w:noWrap/>
            <w:vAlign w:val="bottom"/>
            <w:hideMark/>
          </w:tcPr>
          <w:p w14:paraId="0037FD2A"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W</w:t>
            </w:r>
            <w:r w:rsidRPr="007D7D65">
              <w:rPr>
                <w:rFonts w:ascii="Times New Roman" w:eastAsia="Times New Roman" w:hAnsi="Times New Roman" w:cs="Times New Roman"/>
                <w:color w:val="000000"/>
                <w:u w:val="single"/>
                <w:vertAlign w:val="subscript"/>
                <w:lang w:val="en-CA"/>
              </w:rPr>
              <w:t>health</w:t>
            </w:r>
          </w:p>
        </w:tc>
        <w:tc>
          <w:tcPr>
            <w:tcW w:w="850" w:type="dxa"/>
            <w:tcBorders>
              <w:top w:val="single" w:sz="4" w:space="0" w:color="auto"/>
              <w:left w:val="nil"/>
              <w:bottom w:val="nil"/>
              <w:right w:val="nil"/>
            </w:tcBorders>
            <w:shd w:val="clear" w:color="auto" w:fill="auto"/>
            <w:noWrap/>
            <w:vAlign w:val="bottom"/>
            <w:hideMark/>
          </w:tcPr>
          <w:p w14:paraId="7EF7F31E"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Z</w:t>
            </w:r>
          </w:p>
        </w:tc>
        <w:tc>
          <w:tcPr>
            <w:tcW w:w="851" w:type="dxa"/>
            <w:tcBorders>
              <w:top w:val="single" w:sz="4" w:space="0" w:color="auto"/>
              <w:left w:val="nil"/>
              <w:bottom w:val="nil"/>
              <w:right w:val="nil"/>
            </w:tcBorders>
            <w:shd w:val="clear" w:color="auto" w:fill="auto"/>
            <w:noWrap/>
            <w:vAlign w:val="bottom"/>
            <w:hideMark/>
          </w:tcPr>
          <w:p w14:paraId="0936D551" w14:textId="77777777" w:rsidR="004B09E4" w:rsidRPr="007D7D65" w:rsidRDefault="004B09E4" w:rsidP="008043B8">
            <w:pPr>
              <w:jc w:val="center"/>
              <w:rPr>
                <w:rFonts w:ascii="Times New Roman" w:eastAsia="Times New Roman" w:hAnsi="Times New Roman" w:cs="Times New Roman"/>
                <w:color w:val="000000"/>
                <w:u w:val="single"/>
                <w:lang w:val="en-CA"/>
              </w:rPr>
            </w:pPr>
            <w:r>
              <w:rPr>
                <w:rFonts w:ascii="Times New Roman" w:eastAsia="Times New Roman" w:hAnsi="Times New Roman" w:cs="Times New Roman"/>
                <w:color w:val="000000"/>
                <w:u w:val="single"/>
                <w:lang w:val="en-CA"/>
              </w:rPr>
              <w:t>ter</w:t>
            </w:r>
          </w:p>
        </w:tc>
        <w:tc>
          <w:tcPr>
            <w:tcW w:w="708" w:type="dxa"/>
            <w:tcBorders>
              <w:top w:val="single" w:sz="4" w:space="0" w:color="auto"/>
              <w:left w:val="nil"/>
              <w:bottom w:val="nil"/>
              <w:right w:val="nil"/>
            </w:tcBorders>
            <w:shd w:val="clear" w:color="auto" w:fill="auto"/>
            <w:noWrap/>
            <w:vAlign w:val="bottom"/>
            <w:hideMark/>
          </w:tcPr>
          <w:p w14:paraId="17A23941"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T</w:t>
            </w:r>
          </w:p>
        </w:tc>
        <w:tc>
          <w:tcPr>
            <w:tcW w:w="851" w:type="dxa"/>
            <w:tcBorders>
              <w:top w:val="single" w:sz="4" w:space="0" w:color="auto"/>
              <w:left w:val="nil"/>
              <w:bottom w:val="nil"/>
              <w:right w:val="nil"/>
            </w:tcBorders>
            <w:shd w:val="clear" w:color="auto" w:fill="auto"/>
            <w:noWrap/>
            <w:vAlign w:val="bottom"/>
            <w:hideMark/>
          </w:tcPr>
          <w:p w14:paraId="457B2843"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r</w:t>
            </w:r>
          </w:p>
        </w:tc>
        <w:tc>
          <w:tcPr>
            <w:tcW w:w="993" w:type="dxa"/>
            <w:tcBorders>
              <w:top w:val="single" w:sz="4" w:space="0" w:color="auto"/>
              <w:left w:val="nil"/>
              <w:bottom w:val="nil"/>
              <w:right w:val="nil"/>
            </w:tcBorders>
            <w:shd w:val="clear" w:color="auto" w:fill="auto"/>
            <w:noWrap/>
            <w:vAlign w:val="bottom"/>
            <w:hideMark/>
          </w:tcPr>
          <w:p w14:paraId="20C46E47"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BIC</w:t>
            </w:r>
          </w:p>
        </w:tc>
        <w:tc>
          <w:tcPr>
            <w:tcW w:w="992" w:type="dxa"/>
            <w:tcBorders>
              <w:top w:val="single" w:sz="4" w:space="0" w:color="auto"/>
              <w:left w:val="nil"/>
              <w:bottom w:val="nil"/>
              <w:right w:val="nil"/>
            </w:tcBorders>
            <w:shd w:val="clear" w:color="auto" w:fill="auto"/>
            <w:noWrap/>
            <w:vAlign w:val="bottom"/>
            <w:hideMark/>
          </w:tcPr>
          <w:p w14:paraId="2AC76EC3" w14:textId="77777777" w:rsidR="004B09E4" w:rsidRPr="007D7D65" w:rsidRDefault="004B09E4" w:rsidP="008043B8">
            <w:pPr>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AIC</w:t>
            </w:r>
          </w:p>
        </w:tc>
        <w:tc>
          <w:tcPr>
            <w:tcW w:w="851" w:type="dxa"/>
            <w:tcBorders>
              <w:top w:val="single" w:sz="4" w:space="0" w:color="auto"/>
              <w:left w:val="nil"/>
              <w:bottom w:val="nil"/>
              <w:right w:val="nil"/>
            </w:tcBorders>
            <w:shd w:val="clear" w:color="auto" w:fill="auto"/>
            <w:noWrap/>
            <w:vAlign w:val="bottom"/>
            <w:hideMark/>
          </w:tcPr>
          <w:p w14:paraId="3FF107EE" w14:textId="77777777" w:rsidR="004B09E4" w:rsidRPr="007D7D65" w:rsidRDefault="004B09E4" w:rsidP="008043B8">
            <w:pPr>
              <w:ind w:right="99"/>
              <w:jc w:val="center"/>
              <w:rPr>
                <w:rFonts w:ascii="Times New Roman" w:eastAsia="Times New Roman" w:hAnsi="Times New Roman" w:cs="Times New Roman"/>
                <w:color w:val="000000"/>
                <w:u w:val="single"/>
                <w:lang w:val="en-CA"/>
              </w:rPr>
            </w:pPr>
            <w:r w:rsidRPr="007D7D65">
              <w:rPr>
                <w:rFonts w:ascii="Times New Roman" w:eastAsia="Times New Roman" w:hAnsi="Times New Roman" w:cs="Times New Roman"/>
                <w:color w:val="000000"/>
                <w:u w:val="single"/>
                <w:lang w:val="en-CA"/>
              </w:rPr>
              <w:t># Pp BIC</w:t>
            </w:r>
          </w:p>
        </w:tc>
        <w:tc>
          <w:tcPr>
            <w:tcW w:w="708" w:type="dxa"/>
            <w:tcBorders>
              <w:top w:val="single" w:sz="4" w:space="0" w:color="auto"/>
              <w:left w:val="nil"/>
              <w:bottom w:val="nil"/>
              <w:right w:val="single" w:sz="4" w:space="0" w:color="auto"/>
            </w:tcBorders>
            <w:shd w:val="clear" w:color="auto" w:fill="auto"/>
            <w:noWrap/>
            <w:vAlign w:val="bottom"/>
            <w:hideMark/>
          </w:tcPr>
          <w:p w14:paraId="1CCA0E2E" w14:textId="77777777" w:rsidR="004B09E4" w:rsidRPr="007D7D65" w:rsidRDefault="004B09E4" w:rsidP="008043B8">
            <w:pPr>
              <w:jc w:val="center"/>
              <w:rPr>
                <w:rFonts w:ascii="Times New Roman" w:eastAsia="Times New Roman" w:hAnsi="Times New Roman" w:cs="Times New Roman"/>
                <w:color w:val="000000"/>
                <w:u w:val="single"/>
                <w:lang w:val="en-CA"/>
              </w:rPr>
            </w:pPr>
            <w:r>
              <w:rPr>
                <w:rFonts w:ascii="Times New Roman" w:eastAsia="Times New Roman" w:hAnsi="Times New Roman" w:cs="Times New Roman"/>
                <w:color w:val="000000"/>
                <w:u w:val="single"/>
                <w:lang w:val="en-CA"/>
              </w:rPr>
              <w:t># Pp A</w:t>
            </w:r>
            <w:r w:rsidRPr="007D7D65">
              <w:rPr>
                <w:rFonts w:ascii="Times New Roman" w:eastAsia="Times New Roman" w:hAnsi="Times New Roman" w:cs="Times New Roman"/>
                <w:color w:val="000000"/>
                <w:u w:val="single"/>
                <w:lang w:val="en-CA"/>
              </w:rPr>
              <w:t>IC</w:t>
            </w:r>
          </w:p>
        </w:tc>
      </w:tr>
      <w:tr w:rsidR="004B09E4" w:rsidRPr="00C32176" w14:paraId="119B5499" w14:textId="77777777" w:rsidTr="008043B8">
        <w:trPr>
          <w:trHeight w:val="300"/>
        </w:trPr>
        <w:tc>
          <w:tcPr>
            <w:tcW w:w="1008" w:type="dxa"/>
            <w:tcBorders>
              <w:top w:val="nil"/>
              <w:left w:val="single" w:sz="4" w:space="0" w:color="auto"/>
              <w:bottom w:val="nil"/>
              <w:right w:val="nil"/>
            </w:tcBorders>
            <w:shd w:val="clear" w:color="auto" w:fill="auto"/>
            <w:noWrap/>
            <w:vAlign w:val="bottom"/>
            <w:hideMark/>
          </w:tcPr>
          <w:p w14:paraId="131934F9"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0-Self</w:t>
            </w:r>
          </w:p>
        </w:tc>
        <w:tc>
          <w:tcPr>
            <w:tcW w:w="850" w:type="dxa"/>
            <w:tcBorders>
              <w:top w:val="nil"/>
              <w:left w:val="nil"/>
              <w:bottom w:val="nil"/>
              <w:right w:val="nil"/>
            </w:tcBorders>
            <w:shd w:val="clear" w:color="auto" w:fill="auto"/>
            <w:noWrap/>
            <w:vAlign w:val="bottom"/>
            <w:hideMark/>
          </w:tcPr>
          <w:p w14:paraId="4911FD10"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.0924</w:t>
            </w:r>
          </w:p>
        </w:tc>
        <w:tc>
          <w:tcPr>
            <w:tcW w:w="851" w:type="dxa"/>
            <w:tcBorders>
              <w:top w:val="nil"/>
              <w:left w:val="nil"/>
              <w:bottom w:val="nil"/>
              <w:right w:val="nil"/>
            </w:tcBorders>
            <w:shd w:val="clear" w:color="auto" w:fill="auto"/>
            <w:noWrap/>
            <w:vAlign w:val="bottom"/>
            <w:hideMark/>
          </w:tcPr>
          <w:p w14:paraId="52262906"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.022</w:t>
            </w:r>
          </w:p>
        </w:tc>
        <w:tc>
          <w:tcPr>
            <w:tcW w:w="850" w:type="dxa"/>
            <w:tcBorders>
              <w:top w:val="nil"/>
              <w:left w:val="nil"/>
              <w:bottom w:val="nil"/>
              <w:right w:val="nil"/>
            </w:tcBorders>
            <w:shd w:val="clear" w:color="auto" w:fill="auto"/>
            <w:noWrap/>
            <w:vAlign w:val="bottom"/>
            <w:hideMark/>
          </w:tcPr>
          <w:p w14:paraId="1D00BFB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.1038</w:t>
            </w:r>
          </w:p>
        </w:tc>
        <w:tc>
          <w:tcPr>
            <w:tcW w:w="851" w:type="dxa"/>
            <w:tcBorders>
              <w:top w:val="nil"/>
              <w:left w:val="nil"/>
              <w:bottom w:val="nil"/>
              <w:right w:val="nil"/>
            </w:tcBorders>
            <w:shd w:val="clear" w:color="auto" w:fill="auto"/>
            <w:noWrap/>
            <w:vAlign w:val="bottom"/>
            <w:hideMark/>
          </w:tcPr>
          <w:p w14:paraId="40C6D473"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.416</w:t>
            </w:r>
          </w:p>
        </w:tc>
        <w:tc>
          <w:tcPr>
            <w:tcW w:w="708" w:type="dxa"/>
            <w:tcBorders>
              <w:top w:val="nil"/>
              <w:left w:val="nil"/>
              <w:bottom w:val="nil"/>
              <w:right w:val="nil"/>
            </w:tcBorders>
            <w:shd w:val="clear" w:color="auto" w:fill="auto"/>
            <w:noWrap/>
            <w:vAlign w:val="bottom"/>
            <w:hideMark/>
          </w:tcPr>
          <w:p w14:paraId="26D10FE1"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auto"/>
            <w:noWrap/>
            <w:vAlign w:val="bottom"/>
            <w:hideMark/>
          </w:tcPr>
          <w:p w14:paraId="3D5AE4E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993" w:type="dxa"/>
            <w:tcBorders>
              <w:top w:val="nil"/>
              <w:left w:val="nil"/>
              <w:bottom w:val="nil"/>
              <w:right w:val="nil"/>
            </w:tcBorders>
            <w:shd w:val="clear" w:color="auto" w:fill="auto"/>
            <w:noWrap/>
            <w:vAlign w:val="bottom"/>
            <w:hideMark/>
          </w:tcPr>
          <w:p w14:paraId="630B8A24"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992" w:type="dxa"/>
            <w:tcBorders>
              <w:top w:val="nil"/>
              <w:left w:val="nil"/>
              <w:bottom w:val="nil"/>
              <w:right w:val="nil"/>
            </w:tcBorders>
            <w:shd w:val="clear" w:color="auto" w:fill="auto"/>
            <w:noWrap/>
            <w:vAlign w:val="bottom"/>
            <w:hideMark/>
          </w:tcPr>
          <w:p w14:paraId="4CBF7153"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auto"/>
            <w:noWrap/>
            <w:vAlign w:val="bottom"/>
            <w:hideMark/>
          </w:tcPr>
          <w:p w14:paraId="676B6CB8"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708" w:type="dxa"/>
            <w:tcBorders>
              <w:top w:val="nil"/>
              <w:left w:val="nil"/>
              <w:bottom w:val="nil"/>
              <w:right w:val="single" w:sz="4" w:space="0" w:color="auto"/>
            </w:tcBorders>
            <w:shd w:val="clear" w:color="auto" w:fill="auto"/>
            <w:noWrap/>
            <w:vAlign w:val="bottom"/>
            <w:hideMark/>
          </w:tcPr>
          <w:p w14:paraId="1F36BA71" w14:textId="77777777" w:rsidR="004B09E4" w:rsidRPr="00C32176" w:rsidRDefault="004B09E4" w:rsidP="008043B8">
            <w:pPr>
              <w:jc w:val="center"/>
              <w:rPr>
                <w:rFonts w:ascii="Times New Roman" w:eastAsia="Times New Roman" w:hAnsi="Times New Roman" w:cs="Times New Roman"/>
                <w:color w:val="000000"/>
                <w:lang w:val="en-CA"/>
              </w:rPr>
            </w:pPr>
          </w:p>
        </w:tc>
      </w:tr>
      <w:tr w:rsidR="004B09E4" w:rsidRPr="00C32176" w14:paraId="5437307F" w14:textId="77777777" w:rsidTr="00534B59">
        <w:trPr>
          <w:trHeight w:val="300"/>
        </w:trPr>
        <w:tc>
          <w:tcPr>
            <w:tcW w:w="1008" w:type="dxa"/>
            <w:tcBorders>
              <w:top w:val="nil"/>
              <w:left w:val="single" w:sz="4" w:space="0" w:color="auto"/>
              <w:bottom w:val="nil"/>
              <w:right w:val="nil"/>
            </w:tcBorders>
            <w:shd w:val="clear" w:color="auto" w:fill="F2F2F2" w:themeFill="background1" w:themeFillShade="F2"/>
            <w:noWrap/>
            <w:vAlign w:val="bottom"/>
            <w:hideMark/>
          </w:tcPr>
          <w:p w14:paraId="0F09395E"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0-Sim</w:t>
            </w:r>
          </w:p>
        </w:tc>
        <w:tc>
          <w:tcPr>
            <w:tcW w:w="850" w:type="dxa"/>
            <w:tcBorders>
              <w:top w:val="nil"/>
              <w:left w:val="nil"/>
              <w:bottom w:val="nil"/>
              <w:right w:val="nil"/>
            </w:tcBorders>
            <w:shd w:val="clear" w:color="auto" w:fill="F2F2F2" w:themeFill="background1" w:themeFillShade="F2"/>
            <w:noWrap/>
            <w:vAlign w:val="bottom"/>
            <w:hideMark/>
          </w:tcPr>
          <w:p w14:paraId="6FEA7F1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.0589</w:t>
            </w:r>
          </w:p>
        </w:tc>
        <w:tc>
          <w:tcPr>
            <w:tcW w:w="851" w:type="dxa"/>
            <w:tcBorders>
              <w:top w:val="nil"/>
              <w:left w:val="nil"/>
              <w:bottom w:val="nil"/>
              <w:right w:val="nil"/>
            </w:tcBorders>
            <w:shd w:val="clear" w:color="auto" w:fill="F2F2F2" w:themeFill="background1" w:themeFillShade="F2"/>
            <w:noWrap/>
            <w:vAlign w:val="bottom"/>
            <w:hideMark/>
          </w:tcPr>
          <w:p w14:paraId="1219D106"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.0077</w:t>
            </w:r>
          </w:p>
        </w:tc>
        <w:tc>
          <w:tcPr>
            <w:tcW w:w="850" w:type="dxa"/>
            <w:tcBorders>
              <w:top w:val="nil"/>
              <w:left w:val="nil"/>
              <w:bottom w:val="nil"/>
              <w:right w:val="nil"/>
            </w:tcBorders>
            <w:shd w:val="clear" w:color="auto" w:fill="F2F2F2" w:themeFill="background1" w:themeFillShade="F2"/>
            <w:noWrap/>
            <w:vAlign w:val="bottom"/>
            <w:hideMark/>
          </w:tcPr>
          <w:p w14:paraId="037493D9"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.1076</w:t>
            </w:r>
          </w:p>
        </w:tc>
        <w:tc>
          <w:tcPr>
            <w:tcW w:w="851" w:type="dxa"/>
            <w:tcBorders>
              <w:top w:val="nil"/>
              <w:left w:val="nil"/>
              <w:bottom w:val="nil"/>
              <w:right w:val="nil"/>
            </w:tcBorders>
            <w:shd w:val="clear" w:color="auto" w:fill="F2F2F2" w:themeFill="background1" w:themeFillShade="F2"/>
            <w:noWrap/>
            <w:vAlign w:val="bottom"/>
            <w:hideMark/>
          </w:tcPr>
          <w:p w14:paraId="2A5895F2"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.435</w:t>
            </w:r>
          </w:p>
        </w:tc>
        <w:tc>
          <w:tcPr>
            <w:tcW w:w="708" w:type="dxa"/>
            <w:tcBorders>
              <w:top w:val="nil"/>
              <w:left w:val="nil"/>
              <w:bottom w:val="nil"/>
              <w:right w:val="nil"/>
            </w:tcBorders>
            <w:shd w:val="clear" w:color="auto" w:fill="F2F2F2" w:themeFill="background1" w:themeFillShade="F2"/>
            <w:noWrap/>
            <w:vAlign w:val="bottom"/>
            <w:hideMark/>
          </w:tcPr>
          <w:p w14:paraId="237D1B8A"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F2F2F2" w:themeFill="background1" w:themeFillShade="F2"/>
            <w:noWrap/>
            <w:vAlign w:val="bottom"/>
            <w:hideMark/>
          </w:tcPr>
          <w:p w14:paraId="1196409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993" w:type="dxa"/>
            <w:tcBorders>
              <w:top w:val="nil"/>
              <w:left w:val="nil"/>
              <w:bottom w:val="nil"/>
              <w:right w:val="nil"/>
            </w:tcBorders>
            <w:shd w:val="clear" w:color="auto" w:fill="F2F2F2" w:themeFill="background1" w:themeFillShade="F2"/>
            <w:noWrap/>
            <w:vAlign w:val="bottom"/>
            <w:hideMark/>
          </w:tcPr>
          <w:p w14:paraId="4C37E6CC" w14:textId="77777777" w:rsidR="004B09E4" w:rsidRPr="00C101A9" w:rsidRDefault="004B09E4" w:rsidP="008043B8">
            <w:pPr>
              <w:jc w:val="center"/>
              <w:rPr>
                <w:rFonts w:ascii="Times New Roman" w:eastAsia="Times New Roman" w:hAnsi="Times New Roman" w:cs="Times New Roman"/>
                <w:b/>
                <w:color w:val="000000"/>
                <w:lang w:val="en-CA"/>
              </w:rPr>
            </w:pPr>
            <w:r w:rsidRPr="00C101A9">
              <w:rPr>
                <w:rFonts w:ascii="Times New Roman" w:eastAsia="Times New Roman" w:hAnsi="Times New Roman" w:cs="Times New Roman"/>
                <w:b/>
                <w:color w:val="000000"/>
                <w:lang w:val="en-CA"/>
              </w:rPr>
              <w:t>1.2159</w:t>
            </w:r>
          </w:p>
        </w:tc>
        <w:tc>
          <w:tcPr>
            <w:tcW w:w="992" w:type="dxa"/>
            <w:tcBorders>
              <w:top w:val="nil"/>
              <w:left w:val="nil"/>
              <w:bottom w:val="nil"/>
              <w:right w:val="nil"/>
            </w:tcBorders>
            <w:shd w:val="clear" w:color="auto" w:fill="F2F2F2" w:themeFill="background1" w:themeFillShade="F2"/>
            <w:noWrap/>
            <w:vAlign w:val="bottom"/>
            <w:hideMark/>
          </w:tcPr>
          <w:p w14:paraId="179DFE1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 xml:space="preserve">1.2109 </w:t>
            </w:r>
          </w:p>
        </w:tc>
        <w:tc>
          <w:tcPr>
            <w:tcW w:w="851" w:type="dxa"/>
            <w:tcBorders>
              <w:top w:val="nil"/>
              <w:left w:val="nil"/>
              <w:bottom w:val="nil"/>
              <w:right w:val="nil"/>
            </w:tcBorders>
            <w:shd w:val="clear" w:color="auto" w:fill="F2F2F2" w:themeFill="background1" w:themeFillShade="F2"/>
            <w:noWrap/>
            <w:vAlign w:val="bottom"/>
            <w:hideMark/>
          </w:tcPr>
          <w:p w14:paraId="2328C9D7" w14:textId="77777777" w:rsidR="004B09E4" w:rsidRPr="00C101A9" w:rsidRDefault="004B09E4" w:rsidP="008043B8">
            <w:pPr>
              <w:jc w:val="center"/>
              <w:rPr>
                <w:rFonts w:ascii="Times New Roman" w:eastAsia="Times New Roman" w:hAnsi="Times New Roman" w:cs="Times New Roman"/>
                <w:b/>
                <w:color w:val="000000"/>
                <w:lang w:val="en-CA"/>
              </w:rPr>
            </w:pPr>
            <w:r w:rsidRPr="00C101A9">
              <w:rPr>
                <w:rFonts w:ascii="Times New Roman" w:eastAsia="Times New Roman" w:hAnsi="Times New Roman" w:cs="Times New Roman"/>
                <w:b/>
                <w:color w:val="000000"/>
                <w:lang w:val="en-CA"/>
              </w:rPr>
              <w:t>36</w:t>
            </w:r>
          </w:p>
        </w:tc>
        <w:tc>
          <w:tcPr>
            <w:tcW w:w="708" w:type="dxa"/>
            <w:tcBorders>
              <w:top w:val="nil"/>
              <w:left w:val="nil"/>
              <w:bottom w:val="nil"/>
              <w:right w:val="single" w:sz="4" w:space="0" w:color="auto"/>
            </w:tcBorders>
            <w:shd w:val="clear" w:color="auto" w:fill="F2F2F2" w:themeFill="background1" w:themeFillShade="F2"/>
            <w:noWrap/>
            <w:vAlign w:val="bottom"/>
            <w:hideMark/>
          </w:tcPr>
          <w:p w14:paraId="6ED3F3A7" w14:textId="77777777" w:rsidR="004B09E4" w:rsidRPr="00C101A9" w:rsidRDefault="004B09E4" w:rsidP="008043B8">
            <w:pPr>
              <w:jc w:val="center"/>
              <w:rPr>
                <w:rFonts w:ascii="Times New Roman" w:eastAsia="Times New Roman" w:hAnsi="Times New Roman" w:cs="Times New Roman"/>
                <w:b/>
                <w:color w:val="000000"/>
                <w:lang w:val="en-CA"/>
              </w:rPr>
            </w:pPr>
            <w:r w:rsidRPr="00C101A9">
              <w:rPr>
                <w:rFonts w:ascii="Times New Roman" w:eastAsia="Times New Roman" w:hAnsi="Times New Roman" w:cs="Times New Roman"/>
                <w:b/>
                <w:color w:val="000000"/>
                <w:lang w:val="en-CA"/>
              </w:rPr>
              <w:t>28</w:t>
            </w:r>
          </w:p>
        </w:tc>
      </w:tr>
      <w:tr w:rsidR="004B09E4" w:rsidRPr="00C32176" w14:paraId="52F2E5AA" w14:textId="77777777" w:rsidTr="00534B59">
        <w:trPr>
          <w:trHeight w:val="300"/>
        </w:trPr>
        <w:tc>
          <w:tcPr>
            <w:tcW w:w="1008" w:type="dxa"/>
            <w:tcBorders>
              <w:top w:val="nil"/>
              <w:left w:val="single" w:sz="4" w:space="0" w:color="auto"/>
              <w:bottom w:val="nil"/>
              <w:right w:val="nil"/>
            </w:tcBorders>
            <w:shd w:val="clear" w:color="auto" w:fill="F2F2F2" w:themeFill="background1" w:themeFillShade="F2"/>
            <w:noWrap/>
            <w:vAlign w:val="bottom"/>
            <w:hideMark/>
          </w:tcPr>
          <w:p w14:paraId="644C6874"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1-Sim</w:t>
            </w:r>
          </w:p>
        </w:tc>
        <w:tc>
          <w:tcPr>
            <w:tcW w:w="850" w:type="dxa"/>
            <w:tcBorders>
              <w:top w:val="nil"/>
              <w:left w:val="nil"/>
              <w:bottom w:val="nil"/>
              <w:right w:val="nil"/>
            </w:tcBorders>
            <w:shd w:val="clear" w:color="auto" w:fill="F2F2F2" w:themeFill="background1" w:themeFillShade="F2"/>
            <w:noWrap/>
            <w:vAlign w:val="bottom"/>
            <w:hideMark/>
          </w:tcPr>
          <w:p w14:paraId="62500EB1"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.0589</w:t>
            </w:r>
          </w:p>
        </w:tc>
        <w:tc>
          <w:tcPr>
            <w:tcW w:w="851" w:type="dxa"/>
            <w:tcBorders>
              <w:top w:val="nil"/>
              <w:left w:val="nil"/>
              <w:bottom w:val="nil"/>
              <w:right w:val="nil"/>
            </w:tcBorders>
            <w:shd w:val="clear" w:color="auto" w:fill="F2F2F2" w:themeFill="background1" w:themeFillShade="F2"/>
            <w:noWrap/>
            <w:vAlign w:val="bottom"/>
            <w:hideMark/>
          </w:tcPr>
          <w:p w14:paraId="3450935D"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.0086</w:t>
            </w:r>
          </w:p>
        </w:tc>
        <w:tc>
          <w:tcPr>
            <w:tcW w:w="850" w:type="dxa"/>
            <w:tcBorders>
              <w:top w:val="nil"/>
              <w:left w:val="nil"/>
              <w:bottom w:val="nil"/>
              <w:right w:val="nil"/>
            </w:tcBorders>
            <w:shd w:val="clear" w:color="auto" w:fill="F2F2F2" w:themeFill="background1" w:themeFillShade="F2"/>
            <w:noWrap/>
            <w:vAlign w:val="bottom"/>
            <w:hideMark/>
          </w:tcPr>
          <w:p w14:paraId="12322251"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.1074</w:t>
            </w:r>
          </w:p>
        </w:tc>
        <w:tc>
          <w:tcPr>
            <w:tcW w:w="851" w:type="dxa"/>
            <w:tcBorders>
              <w:top w:val="nil"/>
              <w:left w:val="nil"/>
              <w:bottom w:val="nil"/>
              <w:right w:val="nil"/>
            </w:tcBorders>
            <w:shd w:val="clear" w:color="auto" w:fill="F2F2F2" w:themeFill="background1" w:themeFillShade="F2"/>
            <w:noWrap/>
            <w:vAlign w:val="bottom"/>
            <w:hideMark/>
          </w:tcPr>
          <w:p w14:paraId="285B3480"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.437</w:t>
            </w:r>
          </w:p>
        </w:tc>
        <w:tc>
          <w:tcPr>
            <w:tcW w:w="708" w:type="dxa"/>
            <w:tcBorders>
              <w:top w:val="nil"/>
              <w:left w:val="nil"/>
              <w:bottom w:val="nil"/>
              <w:right w:val="nil"/>
            </w:tcBorders>
            <w:shd w:val="clear" w:color="auto" w:fill="F2F2F2" w:themeFill="background1" w:themeFillShade="F2"/>
            <w:noWrap/>
            <w:vAlign w:val="bottom"/>
            <w:hideMark/>
          </w:tcPr>
          <w:p w14:paraId="4DF9D962"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.11</w:t>
            </w:r>
            <w:r>
              <w:rPr>
                <w:rFonts w:ascii="Times New Roman" w:eastAsia="Times New Roman" w:hAnsi="Times New Roman" w:cs="Times New Roman"/>
                <w:color w:val="000000"/>
                <w:lang w:val="en-CA"/>
              </w:rPr>
              <w:t>6</w:t>
            </w:r>
          </w:p>
        </w:tc>
        <w:tc>
          <w:tcPr>
            <w:tcW w:w="851" w:type="dxa"/>
            <w:tcBorders>
              <w:top w:val="nil"/>
              <w:left w:val="nil"/>
              <w:bottom w:val="nil"/>
              <w:right w:val="nil"/>
            </w:tcBorders>
            <w:shd w:val="clear" w:color="auto" w:fill="F2F2F2" w:themeFill="background1" w:themeFillShade="F2"/>
            <w:noWrap/>
            <w:vAlign w:val="bottom"/>
            <w:hideMark/>
          </w:tcPr>
          <w:p w14:paraId="05155800"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w:t>
            </w:r>
          </w:p>
        </w:tc>
        <w:tc>
          <w:tcPr>
            <w:tcW w:w="993" w:type="dxa"/>
            <w:tcBorders>
              <w:top w:val="nil"/>
              <w:left w:val="nil"/>
              <w:bottom w:val="nil"/>
              <w:right w:val="nil"/>
            </w:tcBorders>
            <w:shd w:val="clear" w:color="auto" w:fill="F2F2F2" w:themeFill="background1" w:themeFillShade="F2"/>
            <w:noWrap/>
            <w:vAlign w:val="bottom"/>
            <w:hideMark/>
          </w:tcPr>
          <w:p w14:paraId="1EDDB1D9"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1.217</w:t>
            </w:r>
          </w:p>
        </w:tc>
        <w:tc>
          <w:tcPr>
            <w:tcW w:w="992" w:type="dxa"/>
            <w:tcBorders>
              <w:top w:val="nil"/>
              <w:left w:val="nil"/>
              <w:bottom w:val="nil"/>
              <w:right w:val="nil"/>
            </w:tcBorders>
            <w:shd w:val="clear" w:color="auto" w:fill="F2F2F2" w:themeFill="background1" w:themeFillShade="F2"/>
            <w:noWrap/>
            <w:vAlign w:val="bottom"/>
            <w:hideMark/>
          </w:tcPr>
          <w:p w14:paraId="39FC8E00" w14:textId="77777777" w:rsidR="004B09E4" w:rsidRPr="00C101A9" w:rsidRDefault="004B09E4" w:rsidP="008043B8">
            <w:pPr>
              <w:jc w:val="center"/>
              <w:rPr>
                <w:rFonts w:ascii="Times New Roman" w:eastAsia="Times New Roman" w:hAnsi="Times New Roman" w:cs="Times New Roman"/>
                <w:b/>
                <w:color w:val="000000"/>
                <w:lang w:val="en-CA"/>
              </w:rPr>
            </w:pPr>
            <w:r w:rsidRPr="00C101A9">
              <w:rPr>
                <w:rFonts w:ascii="Times New Roman" w:eastAsia="Times New Roman" w:hAnsi="Times New Roman" w:cs="Times New Roman"/>
                <w:b/>
                <w:color w:val="000000"/>
                <w:lang w:val="en-CA"/>
              </w:rPr>
              <w:t xml:space="preserve">1.2107 </w:t>
            </w:r>
          </w:p>
        </w:tc>
        <w:tc>
          <w:tcPr>
            <w:tcW w:w="851" w:type="dxa"/>
            <w:tcBorders>
              <w:top w:val="nil"/>
              <w:left w:val="nil"/>
              <w:bottom w:val="nil"/>
              <w:right w:val="nil"/>
            </w:tcBorders>
            <w:shd w:val="clear" w:color="auto" w:fill="F2F2F2" w:themeFill="background1" w:themeFillShade="F2"/>
            <w:noWrap/>
            <w:vAlign w:val="bottom"/>
            <w:hideMark/>
          </w:tcPr>
          <w:p w14:paraId="28E06A5F"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2</w:t>
            </w:r>
          </w:p>
        </w:tc>
        <w:tc>
          <w:tcPr>
            <w:tcW w:w="708" w:type="dxa"/>
            <w:tcBorders>
              <w:top w:val="nil"/>
              <w:left w:val="nil"/>
              <w:bottom w:val="nil"/>
              <w:right w:val="single" w:sz="4" w:space="0" w:color="auto"/>
            </w:tcBorders>
            <w:shd w:val="clear" w:color="auto" w:fill="F2F2F2" w:themeFill="background1" w:themeFillShade="F2"/>
            <w:noWrap/>
            <w:vAlign w:val="bottom"/>
            <w:hideMark/>
          </w:tcPr>
          <w:p w14:paraId="445D8638"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9</w:t>
            </w:r>
          </w:p>
        </w:tc>
      </w:tr>
      <w:tr w:rsidR="004B09E4" w:rsidRPr="00C32176" w14:paraId="2E02D0A6" w14:textId="77777777" w:rsidTr="00534B59">
        <w:trPr>
          <w:trHeight w:val="300"/>
        </w:trPr>
        <w:tc>
          <w:tcPr>
            <w:tcW w:w="1008" w:type="dxa"/>
            <w:tcBorders>
              <w:top w:val="nil"/>
              <w:left w:val="single" w:sz="4" w:space="0" w:color="auto"/>
              <w:bottom w:val="nil"/>
              <w:right w:val="nil"/>
            </w:tcBorders>
            <w:shd w:val="clear" w:color="auto" w:fill="F2F2F2" w:themeFill="background1" w:themeFillShade="F2"/>
            <w:noWrap/>
            <w:vAlign w:val="bottom"/>
          </w:tcPr>
          <w:p w14:paraId="4B6183FF"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2-Sim</w:t>
            </w:r>
          </w:p>
        </w:tc>
        <w:tc>
          <w:tcPr>
            <w:tcW w:w="850" w:type="dxa"/>
            <w:tcBorders>
              <w:top w:val="nil"/>
              <w:left w:val="nil"/>
              <w:bottom w:val="nil"/>
              <w:right w:val="nil"/>
            </w:tcBorders>
            <w:shd w:val="clear" w:color="auto" w:fill="F2F2F2" w:themeFill="background1" w:themeFillShade="F2"/>
            <w:noWrap/>
            <w:vAlign w:val="bottom"/>
          </w:tcPr>
          <w:p w14:paraId="7711B449"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.0603</w:t>
            </w:r>
          </w:p>
        </w:tc>
        <w:tc>
          <w:tcPr>
            <w:tcW w:w="851" w:type="dxa"/>
            <w:tcBorders>
              <w:top w:val="nil"/>
              <w:left w:val="nil"/>
              <w:bottom w:val="nil"/>
              <w:right w:val="nil"/>
            </w:tcBorders>
            <w:shd w:val="clear" w:color="auto" w:fill="F2F2F2" w:themeFill="background1" w:themeFillShade="F2"/>
            <w:noWrap/>
            <w:vAlign w:val="bottom"/>
          </w:tcPr>
          <w:p w14:paraId="7D3E4EE0"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.0096</w:t>
            </w:r>
          </w:p>
        </w:tc>
        <w:tc>
          <w:tcPr>
            <w:tcW w:w="850" w:type="dxa"/>
            <w:tcBorders>
              <w:top w:val="nil"/>
              <w:left w:val="nil"/>
              <w:bottom w:val="nil"/>
              <w:right w:val="nil"/>
            </w:tcBorders>
            <w:shd w:val="clear" w:color="auto" w:fill="F2F2F2" w:themeFill="background1" w:themeFillShade="F2"/>
            <w:noWrap/>
            <w:vAlign w:val="bottom"/>
          </w:tcPr>
          <w:p w14:paraId="5A64D90A"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.1063</w:t>
            </w:r>
          </w:p>
        </w:tc>
        <w:tc>
          <w:tcPr>
            <w:tcW w:w="851" w:type="dxa"/>
            <w:tcBorders>
              <w:top w:val="nil"/>
              <w:left w:val="nil"/>
              <w:bottom w:val="nil"/>
              <w:right w:val="nil"/>
            </w:tcBorders>
            <w:shd w:val="clear" w:color="auto" w:fill="F2F2F2" w:themeFill="background1" w:themeFillShade="F2"/>
            <w:noWrap/>
            <w:vAlign w:val="bottom"/>
          </w:tcPr>
          <w:p w14:paraId="69E74399"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.437</w:t>
            </w:r>
          </w:p>
        </w:tc>
        <w:tc>
          <w:tcPr>
            <w:tcW w:w="708" w:type="dxa"/>
            <w:tcBorders>
              <w:top w:val="nil"/>
              <w:left w:val="nil"/>
              <w:bottom w:val="nil"/>
              <w:right w:val="nil"/>
            </w:tcBorders>
            <w:shd w:val="clear" w:color="auto" w:fill="F2F2F2" w:themeFill="background1" w:themeFillShade="F2"/>
            <w:noWrap/>
            <w:vAlign w:val="bottom"/>
          </w:tcPr>
          <w:p w14:paraId="68194528"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F2F2F2" w:themeFill="background1" w:themeFillShade="F2"/>
            <w:noWrap/>
            <w:vAlign w:val="bottom"/>
          </w:tcPr>
          <w:p w14:paraId="2C7F040C"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552.9</w:t>
            </w:r>
          </w:p>
        </w:tc>
        <w:tc>
          <w:tcPr>
            <w:tcW w:w="993" w:type="dxa"/>
            <w:tcBorders>
              <w:top w:val="nil"/>
              <w:left w:val="nil"/>
              <w:bottom w:val="nil"/>
              <w:right w:val="nil"/>
            </w:tcBorders>
            <w:shd w:val="clear" w:color="auto" w:fill="F2F2F2" w:themeFill="background1" w:themeFillShade="F2"/>
            <w:noWrap/>
            <w:vAlign w:val="bottom"/>
          </w:tcPr>
          <w:p w14:paraId="1FCB0525"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1.2175</w:t>
            </w:r>
          </w:p>
        </w:tc>
        <w:tc>
          <w:tcPr>
            <w:tcW w:w="992" w:type="dxa"/>
            <w:tcBorders>
              <w:top w:val="nil"/>
              <w:left w:val="nil"/>
              <w:bottom w:val="nil"/>
              <w:right w:val="nil"/>
            </w:tcBorders>
            <w:shd w:val="clear" w:color="auto" w:fill="F2F2F2" w:themeFill="background1" w:themeFillShade="F2"/>
            <w:noWrap/>
            <w:vAlign w:val="bottom"/>
          </w:tcPr>
          <w:p w14:paraId="4A912C8A"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1.2113</w:t>
            </w:r>
          </w:p>
        </w:tc>
        <w:tc>
          <w:tcPr>
            <w:tcW w:w="851" w:type="dxa"/>
            <w:tcBorders>
              <w:top w:val="nil"/>
              <w:left w:val="nil"/>
              <w:bottom w:val="nil"/>
              <w:right w:val="nil"/>
            </w:tcBorders>
            <w:shd w:val="clear" w:color="auto" w:fill="F2F2F2" w:themeFill="background1" w:themeFillShade="F2"/>
            <w:noWrap/>
            <w:vAlign w:val="bottom"/>
          </w:tcPr>
          <w:p w14:paraId="3E668AA4"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w:t>
            </w:r>
          </w:p>
        </w:tc>
        <w:tc>
          <w:tcPr>
            <w:tcW w:w="708" w:type="dxa"/>
            <w:tcBorders>
              <w:top w:val="nil"/>
              <w:left w:val="nil"/>
              <w:bottom w:val="nil"/>
              <w:right w:val="single" w:sz="4" w:space="0" w:color="auto"/>
            </w:tcBorders>
            <w:shd w:val="clear" w:color="auto" w:fill="F2F2F2" w:themeFill="background1" w:themeFillShade="F2"/>
            <w:noWrap/>
            <w:vAlign w:val="bottom"/>
          </w:tcPr>
          <w:p w14:paraId="7EE18D9E"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w:t>
            </w:r>
          </w:p>
        </w:tc>
      </w:tr>
      <w:tr w:rsidR="004B09E4" w:rsidRPr="00C32176" w14:paraId="09ABDD92" w14:textId="77777777" w:rsidTr="00534B59">
        <w:trPr>
          <w:trHeight w:val="300"/>
        </w:trPr>
        <w:tc>
          <w:tcPr>
            <w:tcW w:w="1008" w:type="dxa"/>
            <w:tcBorders>
              <w:top w:val="nil"/>
              <w:left w:val="single" w:sz="4" w:space="0" w:color="auto"/>
              <w:bottom w:val="nil"/>
              <w:right w:val="nil"/>
            </w:tcBorders>
            <w:shd w:val="clear" w:color="auto" w:fill="F2F2F2" w:themeFill="background1" w:themeFillShade="F2"/>
            <w:noWrap/>
            <w:vAlign w:val="bottom"/>
            <w:hideMark/>
          </w:tcPr>
          <w:p w14:paraId="3D0B39A9"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w:t>
            </w:r>
            <w:r w:rsidRPr="00C32176">
              <w:rPr>
                <w:rFonts w:ascii="Times New Roman" w:eastAsia="Times New Roman" w:hAnsi="Times New Roman" w:cs="Times New Roman"/>
                <w:color w:val="000000"/>
                <w:lang w:val="en-CA"/>
              </w:rPr>
              <w:t>-Sim</w:t>
            </w:r>
          </w:p>
        </w:tc>
        <w:tc>
          <w:tcPr>
            <w:tcW w:w="850" w:type="dxa"/>
            <w:tcBorders>
              <w:top w:val="nil"/>
              <w:left w:val="nil"/>
              <w:bottom w:val="nil"/>
              <w:right w:val="nil"/>
            </w:tcBorders>
            <w:shd w:val="clear" w:color="auto" w:fill="F2F2F2" w:themeFill="background1" w:themeFillShade="F2"/>
            <w:noWrap/>
            <w:vAlign w:val="bottom"/>
            <w:hideMark/>
          </w:tcPr>
          <w:p w14:paraId="72AFDB90"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.0587</w:t>
            </w:r>
          </w:p>
        </w:tc>
        <w:tc>
          <w:tcPr>
            <w:tcW w:w="851" w:type="dxa"/>
            <w:tcBorders>
              <w:top w:val="nil"/>
              <w:left w:val="nil"/>
              <w:bottom w:val="nil"/>
              <w:right w:val="nil"/>
            </w:tcBorders>
            <w:shd w:val="clear" w:color="auto" w:fill="F2F2F2" w:themeFill="background1" w:themeFillShade="F2"/>
            <w:noWrap/>
            <w:vAlign w:val="bottom"/>
            <w:hideMark/>
          </w:tcPr>
          <w:p w14:paraId="5F8714FA"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.0095</w:t>
            </w:r>
          </w:p>
        </w:tc>
        <w:tc>
          <w:tcPr>
            <w:tcW w:w="850" w:type="dxa"/>
            <w:tcBorders>
              <w:top w:val="nil"/>
              <w:left w:val="nil"/>
              <w:bottom w:val="nil"/>
              <w:right w:val="nil"/>
            </w:tcBorders>
            <w:shd w:val="clear" w:color="auto" w:fill="F2F2F2" w:themeFill="background1" w:themeFillShade="F2"/>
            <w:noWrap/>
            <w:vAlign w:val="bottom"/>
            <w:hideMark/>
          </w:tcPr>
          <w:p w14:paraId="5C3CA9CA"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.1068</w:t>
            </w:r>
          </w:p>
        </w:tc>
        <w:tc>
          <w:tcPr>
            <w:tcW w:w="851" w:type="dxa"/>
            <w:tcBorders>
              <w:top w:val="nil"/>
              <w:left w:val="nil"/>
              <w:bottom w:val="nil"/>
              <w:right w:val="nil"/>
            </w:tcBorders>
            <w:shd w:val="clear" w:color="auto" w:fill="F2F2F2" w:themeFill="background1" w:themeFillShade="F2"/>
            <w:noWrap/>
            <w:vAlign w:val="bottom"/>
            <w:hideMark/>
          </w:tcPr>
          <w:p w14:paraId="1E4A8499" w14:textId="77777777" w:rsidR="004B09E4" w:rsidRPr="00C32176" w:rsidRDefault="004B09E4"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.437</w:t>
            </w:r>
          </w:p>
        </w:tc>
        <w:tc>
          <w:tcPr>
            <w:tcW w:w="708" w:type="dxa"/>
            <w:tcBorders>
              <w:top w:val="nil"/>
              <w:left w:val="nil"/>
              <w:bottom w:val="nil"/>
              <w:right w:val="nil"/>
            </w:tcBorders>
            <w:shd w:val="clear" w:color="auto" w:fill="F2F2F2" w:themeFill="background1" w:themeFillShade="F2"/>
            <w:noWrap/>
            <w:vAlign w:val="bottom"/>
            <w:hideMark/>
          </w:tcPr>
          <w:p w14:paraId="2BCDAFBC"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w:t>
            </w:r>
          </w:p>
        </w:tc>
        <w:tc>
          <w:tcPr>
            <w:tcW w:w="851" w:type="dxa"/>
            <w:tcBorders>
              <w:top w:val="nil"/>
              <w:left w:val="nil"/>
              <w:bottom w:val="nil"/>
              <w:right w:val="nil"/>
            </w:tcBorders>
            <w:shd w:val="clear" w:color="auto" w:fill="F2F2F2" w:themeFill="background1" w:themeFillShade="F2"/>
            <w:noWrap/>
            <w:vAlign w:val="bottom"/>
            <w:hideMark/>
          </w:tcPr>
          <w:p w14:paraId="0CDB8416"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710.8</w:t>
            </w:r>
          </w:p>
        </w:tc>
        <w:tc>
          <w:tcPr>
            <w:tcW w:w="993" w:type="dxa"/>
            <w:tcBorders>
              <w:top w:val="nil"/>
              <w:left w:val="nil"/>
              <w:bottom w:val="nil"/>
              <w:right w:val="nil"/>
            </w:tcBorders>
            <w:shd w:val="clear" w:color="auto" w:fill="F2F2F2" w:themeFill="background1" w:themeFillShade="F2"/>
            <w:noWrap/>
            <w:vAlign w:val="bottom"/>
            <w:hideMark/>
          </w:tcPr>
          <w:p w14:paraId="5C66E9BA"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 xml:space="preserve">1.2189 </w:t>
            </w:r>
          </w:p>
        </w:tc>
        <w:tc>
          <w:tcPr>
            <w:tcW w:w="992" w:type="dxa"/>
            <w:tcBorders>
              <w:top w:val="nil"/>
              <w:left w:val="nil"/>
              <w:bottom w:val="nil"/>
              <w:right w:val="nil"/>
            </w:tcBorders>
            <w:shd w:val="clear" w:color="auto" w:fill="F2F2F2" w:themeFill="background1" w:themeFillShade="F2"/>
            <w:noWrap/>
            <w:vAlign w:val="bottom"/>
            <w:hideMark/>
          </w:tcPr>
          <w:p w14:paraId="73216513"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1.2114</w:t>
            </w:r>
          </w:p>
        </w:tc>
        <w:tc>
          <w:tcPr>
            <w:tcW w:w="851" w:type="dxa"/>
            <w:tcBorders>
              <w:top w:val="nil"/>
              <w:left w:val="nil"/>
              <w:bottom w:val="nil"/>
              <w:right w:val="nil"/>
            </w:tcBorders>
            <w:shd w:val="clear" w:color="auto" w:fill="F2F2F2" w:themeFill="background1" w:themeFillShade="F2"/>
            <w:noWrap/>
            <w:vAlign w:val="bottom"/>
            <w:hideMark/>
          </w:tcPr>
          <w:p w14:paraId="632F884E"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0</w:t>
            </w:r>
          </w:p>
        </w:tc>
        <w:tc>
          <w:tcPr>
            <w:tcW w:w="708" w:type="dxa"/>
            <w:tcBorders>
              <w:top w:val="nil"/>
              <w:left w:val="nil"/>
              <w:bottom w:val="nil"/>
              <w:right w:val="single" w:sz="4" w:space="0" w:color="auto"/>
            </w:tcBorders>
            <w:shd w:val="clear" w:color="auto" w:fill="F2F2F2" w:themeFill="background1" w:themeFillShade="F2"/>
            <w:noWrap/>
            <w:vAlign w:val="bottom"/>
            <w:hideMark/>
          </w:tcPr>
          <w:p w14:paraId="318D02A9" w14:textId="77777777" w:rsidR="004B09E4" w:rsidRPr="00C32176" w:rsidRDefault="004B09E4" w:rsidP="008043B8">
            <w:pPr>
              <w:jc w:val="center"/>
              <w:rPr>
                <w:rFonts w:ascii="Times New Roman" w:eastAsia="Times New Roman" w:hAnsi="Times New Roman" w:cs="Times New Roman"/>
                <w:color w:val="000000"/>
                <w:lang w:val="en-CA"/>
              </w:rPr>
            </w:pPr>
            <w:r w:rsidRPr="00C32176">
              <w:rPr>
                <w:rFonts w:ascii="Times New Roman" w:eastAsia="Times New Roman" w:hAnsi="Times New Roman" w:cs="Times New Roman"/>
                <w:color w:val="000000"/>
                <w:lang w:val="en-CA"/>
              </w:rPr>
              <w:t>1</w:t>
            </w:r>
          </w:p>
        </w:tc>
      </w:tr>
      <w:tr w:rsidR="00644ACA" w:rsidRPr="00C32176" w14:paraId="6FC9EAF8" w14:textId="77777777" w:rsidTr="008043B8">
        <w:trPr>
          <w:trHeight w:val="300"/>
        </w:trPr>
        <w:tc>
          <w:tcPr>
            <w:tcW w:w="1008" w:type="dxa"/>
            <w:tcBorders>
              <w:top w:val="nil"/>
              <w:left w:val="single" w:sz="4" w:space="0" w:color="auto"/>
              <w:bottom w:val="nil"/>
              <w:right w:val="nil"/>
            </w:tcBorders>
            <w:shd w:val="clear" w:color="auto" w:fill="auto"/>
            <w:noWrap/>
            <w:vAlign w:val="bottom"/>
          </w:tcPr>
          <w:p w14:paraId="5930BBD3" w14:textId="3CB70714" w:rsidR="00644ACA"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0-Diss</w:t>
            </w:r>
          </w:p>
        </w:tc>
        <w:tc>
          <w:tcPr>
            <w:tcW w:w="850" w:type="dxa"/>
            <w:tcBorders>
              <w:top w:val="nil"/>
              <w:left w:val="nil"/>
              <w:bottom w:val="nil"/>
              <w:right w:val="nil"/>
            </w:tcBorders>
            <w:shd w:val="clear" w:color="auto" w:fill="auto"/>
            <w:noWrap/>
            <w:vAlign w:val="bottom"/>
          </w:tcPr>
          <w:p w14:paraId="3DA27C6F" w14:textId="607077D7"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.0163</w:t>
            </w:r>
          </w:p>
        </w:tc>
        <w:tc>
          <w:tcPr>
            <w:tcW w:w="851" w:type="dxa"/>
            <w:tcBorders>
              <w:top w:val="nil"/>
              <w:left w:val="nil"/>
              <w:bottom w:val="nil"/>
              <w:right w:val="nil"/>
            </w:tcBorders>
            <w:shd w:val="clear" w:color="auto" w:fill="auto"/>
            <w:noWrap/>
            <w:vAlign w:val="bottom"/>
          </w:tcPr>
          <w:p w14:paraId="1D8C8A57" w14:textId="37552E06"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.0984</w:t>
            </w:r>
          </w:p>
        </w:tc>
        <w:tc>
          <w:tcPr>
            <w:tcW w:w="850" w:type="dxa"/>
            <w:tcBorders>
              <w:top w:val="nil"/>
              <w:left w:val="nil"/>
              <w:bottom w:val="nil"/>
              <w:right w:val="nil"/>
            </w:tcBorders>
            <w:shd w:val="clear" w:color="auto" w:fill="auto"/>
            <w:noWrap/>
            <w:vAlign w:val="bottom"/>
          </w:tcPr>
          <w:p w14:paraId="33A3E12E" w14:textId="20C7B874"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.1111</w:t>
            </w:r>
          </w:p>
        </w:tc>
        <w:tc>
          <w:tcPr>
            <w:tcW w:w="851" w:type="dxa"/>
            <w:tcBorders>
              <w:top w:val="nil"/>
              <w:left w:val="nil"/>
              <w:bottom w:val="nil"/>
              <w:right w:val="nil"/>
            </w:tcBorders>
            <w:shd w:val="clear" w:color="auto" w:fill="auto"/>
            <w:noWrap/>
            <w:vAlign w:val="bottom"/>
          </w:tcPr>
          <w:p w14:paraId="310276AE" w14:textId="6419B518" w:rsidR="00644ACA"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.395</w:t>
            </w:r>
          </w:p>
        </w:tc>
        <w:tc>
          <w:tcPr>
            <w:tcW w:w="708" w:type="dxa"/>
            <w:tcBorders>
              <w:top w:val="nil"/>
              <w:left w:val="nil"/>
              <w:bottom w:val="nil"/>
              <w:right w:val="nil"/>
            </w:tcBorders>
            <w:shd w:val="clear" w:color="auto" w:fill="auto"/>
            <w:noWrap/>
            <w:vAlign w:val="bottom"/>
          </w:tcPr>
          <w:p w14:paraId="468FCA4D" w14:textId="2E6B907E"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auto"/>
            <w:noWrap/>
            <w:vAlign w:val="bottom"/>
          </w:tcPr>
          <w:p w14:paraId="1550C4B1" w14:textId="34537BCE"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w:t>
            </w:r>
          </w:p>
        </w:tc>
        <w:tc>
          <w:tcPr>
            <w:tcW w:w="993" w:type="dxa"/>
            <w:tcBorders>
              <w:top w:val="nil"/>
              <w:left w:val="nil"/>
              <w:bottom w:val="nil"/>
              <w:right w:val="nil"/>
            </w:tcBorders>
            <w:shd w:val="clear" w:color="auto" w:fill="auto"/>
            <w:noWrap/>
            <w:vAlign w:val="bottom"/>
          </w:tcPr>
          <w:p w14:paraId="5696702C" w14:textId="2470B78A" w:rsidR="00644ACA" w:rsidRPr="00161C57" w:rsidRDefault="00644ACA" w:rsidP="008043B8">
            <w:pPr>
              <w:jc w:val="center"/>
              <w:rPr>
                <w:rFonts w:ascii="Times New Roman" w:eastAsia="Times New Roman" w:hAnsi="Times New Roman" w:cs="Times New Roman"/>
                <w:b/>
                <w:color w:val="000000"/>
                <w:lang w:val="en-CA"/>
              </w:rPr>
            </w:pPr>
            <w:r w:rsidRPr="00161C57">
              <w:rPr>
                <w:rFonts w:ascii="Times New Roman" w:eastAsia="Times New Roman" w:hAnsi="Times New Roman" w:cs="Times New Roman"/>
                <w:b/>
                <w:color w:val="000000"/>
                <w:lang w:val="en-CA"/>
              </w:rPr>
              <w:t>1.1487</w:t>
            </w:r>
          </w:p>
        </w:tc>
        <w:tc>
          <w:tcPr>
            <w:tcW w:w="992" w:type="dxa"/>
            <w:tcBorders>
              <w:top w:val="nil"/>
              <w:left w:val="nil"/>
              <w:bottom w:val="nil"/>
              <w:right w:val="nil"/>
            </w:tcBorders>
            <w:shd w:val="clear" w:color="auto" w:fill="auto"/>
            <w:noWrap/>
            <w:vAlign w:val="bottom"/>
          </w:tcPr>
          <w:p w14:paraId="645A38D3" w14:textId="133DDDBC" w:rsidR="00644ACA" w:rsidRPr="00161C57" w:rsidRDefault="00644ACA" w:rsidP="008043B8">
            <w:pPr>
              <w:jc w:val="center"/>
              <w:rPr>
                <w:rFonts w:ascii="Times New Roman" w:eastAsia="Times New Roman" w:hAnsi="Times New Roman" w:cs="Times New Roman"/>
                <w:b/>
                <w:color w:val="000000"/>
                <w:lang w:val="en-CA"/>
              </w:rPr>
            </w:pPr>
            <w:r w:rsidRPr="00161C57">
              <w:rPr>
                <w:rFonts w:ascii="Times New Roman" w:eastAsia="Times New Roman" w:hAnsi="Times New Roman" w:cs="Times New Roman"/>
                <w:b/>
                <w:color w:val="000000"/>
                <w:lang w:val="en-CA"/>
              </w:rPr>
              <w:t>1.1437</w:t>
            </w:r>
          </w:p>
        </w:tc>
        <w:tc>
          <w:tcPr>
            <w:tcW w:w="851" w:type="dxa"/>
            <w:tcBorders>
              <w:top w:val="nil"/>
              <w:left w:val="nil"/>
              <w:bottom w:val="nil"/>
              <w:right w:val="nil"/>
            </w:tcBorders>
            <w:shd w:val="clear" w:color="auto" w:fill="auto"/>
            <w:noWrap/>
            <w:vAlign w:val="bottom"/>
          </w:tcPr>
          <w:p w14:paraId="7442E59E" w14:textId="16AADBFB" w:rsidR="00644ACA" w:rsidRPr="00161C57" w:rsidRDefault="00CE71AA" w:rsidP="008043B8">
            <w:pPr>
              <w:jc w:val="center"/>
              <w:rPr>
                <w:rFonts w:ascii="Times New Roman" w:eastAsia="Times New Roman" w:hAnsi="Times New Roman" w:cs="Times New Roman"/>
                <w:b/>
                <w:color w:val="000000"/>
                <w:lang w:val="en-CA"/>
              </w:rPr>
            </w:pPr>
            <w:r w:rsidRPr="00161C57">
              <w:rPr>
                <w:rFonts w:ascii="Times New Roman" w:eastAsia="Times New Roman" w:hAnsi="Times New Roman" w:cs="Times New Roman"/>
                <w:b/>
                <w:color w:val="000000"/>
                <w:lang w:val="en-CA"/>
              </w:rPr>
              <w:t>32</w:t>
            </w:r>
          </w:p>
        </w:tc>
        <w:tc>
          <w:tcPr>
            <w:tcW w:w="708" w:type="dxa"/>
            <w:tcBorders>
              <w:top w:val="nil"/>
              <w:left w:val="nil"/>
              <w:bottom w:val="nil"/>
              <w:right w:val="single" w:sz="4" w:space="0" w:color="auto"/>
            </w:tcBorders>
            <w:shd w:val="clear" w:color="auto" w:fill="auto"/>
            <w:noWrap/>
            <w:vAlign w:val="bottom"/>
          </w:tcPr>
          <w:p w14:paraId="456FDEFA" w14:textId="2393BF45" w:rsidR="00644ACA" w:rsidRPr="00161C57" w:rsidRDefault="00866B2C" w:rsidP="008043B8">
            <w:pPr>
              <w:jc w:val="center"/>
              <w:rPr>
                <w:rFonts w:ascii="Times New Roman" w:eastAsia="Times New Roman" w:hAnsi="Times New Roman" w:cs="Times New Roman"/>
                <w:b/>
                <w:color w:val="000000"/>
                <w:lang w:val="en-CA"/>
              </w:rPr>
            </w:pPr>
            <w:r w:rsidRPr="00161C57">
              <w:rPr>
                <w:rFonts w:ascii="Times New Roman" w:eastAsia="Times New Roman" w:hAnsi="Times New Roman" w:cs="Times New Roman"/>
                <w:b/>
                <w:color w:val="000000"/>
                <w:lang w:val="en-CA"/>
              </w:rPr>
              <w:t>2</w:t>
            </w:r>
            <w:r w:rsidR="00161C57" w:rsidRPr="00161C57">
              <w:rPr>
                <w:rFonts w:ascii="Times New Roman" w:eastAsia="Times New Roman" w:hAnsi="Times New Roman" w:cs="Times New Roman"/>
                <w:b/>
                <w:color w:val="000000"/>
                <w:lang w:val="en-CA"/>
              </w:rPr>
              <w:t>4</w:t>
            </w:r>
          </w:p>
        </w:tc>
      </w:tr>
      <w:tr w:rsidR="00644ACA" w:rsidRPr="00C32176" w14:paraId="0B6E433D" w14:textId="77777777" w:rsidTr="008043B8">
        <w:trPr>
          <w:trHeight w:val="300"/>
        </w:trPr>
        <w:tc>
          <w:tcPr>
            <w:tcW w:w="1008" w:type="dxa"/>
            <w:tcBorders>
              <w:top w:val="nil"/>
              <w:left w:val="single" w:sz="4" w:space="0" w:color="auto"/>
              <w:bottom w:val="nil"/>
              <w:right w:val="nil"/>
            </w:tcBorders>
            <w:shd w:val="clear" w:color="auto" w:fill="auto"/>
            <w:noWrap/>
            <w:vAlign w:val="bottom"/>
          </w:tcPr>
          <w:p w14:paraId="46784E58" w14:textId="530121F3" w:rsidR="00644ACA"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1-Diss</w:t>
            </w:r>
          </w:p>
        </w:tc>
        <w:tc>
          <w:tcPr>
            <w:tcW w:w="850" w:type="dxa"/>
            <w:tcBorders>
              <w:top w:val="nil"/>
              <w:left w:val="nil"/>
              <w:bottom w:val="nil"/>
              <w:right w:val="nil"/>
            </w:tcBorders>
            <w:shd w:val="clear" w:color="auto" w:fill="auto"/>
            <w:noWrap/>
            <w:vAlign w:val="bottom"/>
          </w:tcPr>
          <w:p w14:paraId="106269ED" w14:textId="6C9CE1F4"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.0130</w:t>
            </w:r>
          </w:p>
        </w:tc>
        <w:tc>
          <w:tcPr>
            <w:tcW w:w="851" w:type="dxa"/>
            <w:tcBorders>
              <w:top w:val="nil"/>
              <w:left w:val="nil"/>
              <w:bottom w:val="nil"/>
              <w:right w:val="nil"/>
            </w:tcBorders>
            <w:shd w:val="clear" w:color="auto" w:fill="auto"/>
            <w:noWrap/>
            <w:vAlign w:val="bottom"/>
          </w:tcPr>
          <w:p w14:paraId="2A86686A" w14:textId="59952E72"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.0987</w:t>
            </w:r>
          </w:p>
        </w:tc>
        <w:tc>
          <w:tcPr>
            <w:tcW w:w="850" w:type="dxa"/>
            <w:tcBorders>
              <w:top w:val="nil"/>
              <w:left w:val="nil"/>
              <w:bottom w:val="nil"/>
              <w:right w:val="nil"/>
            </w:tcBorders>
            <w:shd w:val="clear" w:color="auto" w:fill="auto"/>
            <w:noWrap/>
            <w:vAlign w:val="bottom"/>
          </w:tcPr>
          <w:p w14:paraId="016070A5" w14:textId="4B23BF54"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.1116</w:t>
            </w:r>
          </w:p>
        </w:tc>
        <w:tc>
          <w:tcPr>
            <w:tcW w:w="851" w:type="dxa"/>
            <w:tcBorders>
              <w:top w:val="nil"/>
              <w:left w:val="nil"/>
              <w:bottom w:val="nil"/>
              <w:right w:val="nil"/>
            </w:tcBorders>
            <w:shd w:val="clear" w:color="auto" w:fill="auto"/>
            <w:noWrap/>
            <w:vAlign w:val="bottom"/>
          </w:tcPr>
          <w:p w14:paraId="6BCE1E04" w14:textId="1E093BDD" w:rsidR="00644ACA"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.390</w:t>
            </w:r>
          </w:p>
        </w:tc>
        <w:tc>
          <w:tcPr>
            <w:tcW w:w="708" w:type="dxa"/>
            <w:tcBorders>
              <w:top w:val="nil"/>
              <w:left w:val="nil"/>
              <w:bottom w:val="nil"/>
              <w:right w:val="nil"/>
            </w:tcBorders>
            <w:shd w:val="clear" w:color="auto" w:fill="auto"/>
            <w:noWrap/>
            <w:vAlign w:val="bottom"/>
          </w:tcPr>
          <w:p w14:paraId="5D626282" w14:textId="356FD348"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.090</w:t>
            </w:r>
          </w:p>
        </w:tc>
        <w:tc>
          <w:tcPr>
            <w:tcW w:w="851" w:type="dxa"/>
            <w:tcBorders>
              <w:top w:val="nil"/>
              <w:left w:val="nil"/>
              <w:bottom w:val="nil"/>
              <w:right w:val="nil"/>
            </w:tcBorders>
            <w:shd w:val="clear" w:color="auto" w:fill="auto"/>
            <w:noWrap/>
            <w:vAlign w:val="bottom"/>
          </w:tcPr>
          <w:p w14:paraId="2269FF8D" w14:textId="01C15DDD"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w:t>
            </w:r>
          </w:p>
        </w:tc>
        <w:tc>
          <w:tcPr>
            <w:tcW w:w="993" w:type="dxa"/>
            <w:tcBorders>
              <w:top w:val="nil"/>
              <w:left w:val="nil"/>
              <w:bottom w:val="nil"/>
              <w:right w:val="nil"/>
            </w:tcBorders>
            <w:shd w:val="clear" w:color="auto" w:fill="auto"/>
            <w:noWrap/>
            <w:vAlign w:val="bottom"/>
          </w:tcPr>
          <w:p w14:paraId="577D9465" w14:textId="6F8D3157"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1.1500</w:t>
            </w:r>
          </w:p>
        </w:tc>
        <w:tc>
          <w:tcPr>
            <w:tcW w:w="992" w:type="dxa"/>
            <w:tcBorders>
              <w:top w:val="nil"/>
              <w:left w:val="nil"/>
              <w:bottom w:val="nil"/>
              <w:right w:val="nil"/>
            </w:tcBorders>
            <w:shd w:val="clear" w:color="auto" w:fill="auto"/>
            <w:noWrap/>
            <w:vAlign w:val="bottom"/>
          </w:tcPr>
          <w:p w14:paraId="07B2CE2C" w14:textId="4AF992DB"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1.1438</w:t>
            </w:r>
          </w:p>
        </w:tc>
        <w:tc>
          <w:tcPr>
            <w:tcW w:w="851" w:type="dxa"/>
            <w:tcBorders>
              <w:top w:val="nil"/>
              <w:left w:val="nil"/>
              <w:bottom w:val="nil"/>
              <w:right w:val="nil"/>
            </w:tcBorders>
            <w:shd w:val="clear" w:color="auto" w:fill="auto"/>
            <w:noWrap/>
            <w:vAlign w:val="bottom"/>
          </w:tcPr>
          <w:p w14:paraId="719C1B8A" w14:textId="3ED12C12"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w:t>
            </w:r>
          </w:p>
        </w:tc>
        <w:tc>
          <w:tcPr>
            <w:tcW w:w="708" w:type="dxa"/>
            <w:tcBorders>
              <w:top w:val="nil"/>
              <w:left w:val="nil"/>
              <w:bottom w:val="nil"/>
              <w:right w:val="single" w:sz="4" w:space="0" w:color="auto"/>
            </w:tcBorders>
            <w:shd w:val="clear" w:color="auto" w:fill="auto"/>
            <w:noWrap/>
            <w:vAlign w:val="bottom"/>
          </w:tcPr>
          <w:p w14:paraId="0CD967C2" w14:textId="6AEE91E1"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8</w:t>
            </w:r>
          </w:p>
        </w:tc>
      </w:tr>
      <w:tr w:rsidR="00644ACA" w:rsidRPr="00C32176" w14:paraId="169FE75F" w14:textId="77777777" w:rsidTr="000F163D">
        <w:trPr>
          <w:trHeight w:val="300"/>
        </w:trPr>
        <w:tc>
          <w:tcPr>
            <w:tcW w:w="1008" w:type="dxa"/>
            <w:tcBorders>
              <w:top w:val="nil"/>
              <w:left w:val="single" w:sz="4" w:space="0" w:color="auto"/>
              <w:bottom w:val="nil"/>
              <w:right w:val="nil"/>
            </w:tcBorders>
            <w:shd w:val="clear" w:color="auto" w:fill="auto"/>
            <w:noWrap/>
            <w:vAlign w:val="bottom"/>
          </w:tcPr>
          <w:p w14:paraId="382BC970" w14:textId="171D4DB0" w:rsidR="00644ACA"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2-Diss</w:t>
            </w:r>
          </w:p>
        </w:tc>
        <w:tc>
          <w:tcPr>
            <w:tcW w:w="850" w:type="dxa"/>
            <w:tcBorders>
              <w:top w:val="nil"/>
              <w:left w:val="nil"/>
              <w:bottom w:val="nil"/>
              <w:right w:val="nil"/>
            </w:tcBorders>
            <w:shd w:val="clear" w:color="auto" w:fill="auto"/>
            <w:noWrap/>
            <w:vAlign w:val="bottom"/>
          </w:tcPr>
          <w:p w14:paraId="02DBA210" w14:textId="1B71DC2F" w:rsidR="00644ACA" w:rsidRPr="00C32176" w:rsidRDefault="008B2FA5"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.0114</w:t>
            </w:r>
          </w:p>
        </w:tc>
        <w:tc>
          <w:tcPr>
            <w:tcW w:w="851" w:type="dxa"/>
            <w:tcBorders>
              <w:top w:val="nil"/>
              <w:left w:val="nil"/>
              <w:bottom w:val="nil"/>
              <w:right w:val="nil"/>
            </w:tcBorders>
            <w:shd w:val="clear" w:color="auto" w:fill="auto"/>
            <w:noWrap/>
            <w:vAlign w:val="bottom"/>
          </w:tcPr>
          <w:p w14:paraId="3EE4E128" w14:textId="7A18AB4C" w:rsidR="00644ACA" w:rsidRPr="00C32176" w:rsidRDefault="008B2FA5"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.0996</w:t>
            </w:r>
          </w:p>
        </w:tc>
        <w:tc>
          <w:tcPr>
            <w:tcW w:w="850" w:type="dxa"/>
            <w:tcBorders>
              <w:top w:val="nil"/>
              <w:left w:val="nil"/>
              <w:bottom w:val="nil"/>
              <w:right w:val="nil"/>
            </w:tcBorders>
            <w:shd w:val="clear" w:color="auto" w:fill="auto"/>
            <w:noWrap/>
            <w:vAlign w:val="bottom"/>
          </w:tcPr>
          <w:p w14:paraId="6D9E8EDA" w14:textId="1F70739B" w:rsidR="00644ACA" w:rsidRPr="00C32176" w:rsidRDefault="008B2FA5"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.1111</w:t>
            </w:r>
          </w:p>
        </w:tc>
        <w:tc>
          <w:tcPr>
            <w:tcW w:w="851" w:type="dxa"/>
            <w:tcBorders>
              <w:top w:val="nil"/>
              <w:left w:val="nil"/>
              <w:bottom w:val="nil"/>
              <w:right w:val="nil"/>
            </w:tcBorders>
            <w:shd w:val="clear" w:color="auto" w:fill="auto"/>
            <w:noWrap/>
            <w:vAlign w:val="bottom"/>
          </w:tcPr>
          <w:p w14:paraId="76DB316F" w14:textId="380FB17D" w:rsidR="00644ACA" w:rsidRDefault="008B2FA5"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.395</w:t>
            </w:r>
          </w:p>
        </w:tc>
        <w:tc>
          <w:tcPr>
            <w:tcW w:w="708" w:type="dxa"/>
            <w:tcBorders>
              <w:top w:val="nil"/>
              <w:left w:val="nil"/>
              <w:bottom w:val="nil"/>
              <w:right w:val="nil"/>
            </w:tcBorders>
            <w:shd w:val="clear" w:color="auto" w:fill="auto"/>
            <w:noWrap/>
            <w:vAlign w:val="bottom"/>
          </w:tcPr>
          <w:p w14:paraId="5204736C" w14:textId="723A9A75"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w:t>
            </w:r>
          </w:p>
        </w:tc>
        <w:tc>
          <w:tcPr>
            <w:tcW w:w="851" w:type="dxa"/>
            <w:tcBorders>
              <w:top w:val="nil"/>
              <w:left w:val="nil"/>
              <w:bottom w:val="nil"/>
              <w:right w:val="nil"/>
            </w:tcBorders>
            <w:shd w:val="clear" w:color="auto" w:fill="auto"/>
            <w:noWrap/>
            <w:vAlign w:val="bottom"/>
          </w:tcPr>
          <w:p w14:paraId="0FCCD911" w14:textId="4D18DA62" w:rsidR="00644ACA" w:rsidRPr="00C32176" w:rsidRDefault="008B2FA5"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422</w:t>
            </w:r>
          </w:p>
        </w:tc>
        <w:tc>
          <w:tcPr>
            <w:tcW w:w="993" w:type="dxa"/>
            <w:tcBorders>
              <w:top w:val="nil"/>
              <w:left w:val="nil"/>
              <w:bottom w:val="nil"/>
              <w:right w:val="nil"/>
            </w:tcBorders>
            <w:shd w:val="clear" w:color="auto" w:fill="auto"/>
            <w:noWrap/>
            <w:vAlign w:val="bottom"/>
          </w:tcPr>
          <w:p w14:paraId="40B02B0E" w14:textId="2AC7112E" w:rsidR="00644ACA" w:rsidRPr="00C32176" w:rsidRDefault="00A027A2"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1.1501</w:t>
            </w:r>
          </w:p>
        </w:tc>
        <w:tc>
          <w:tcPr>
            <w:tcW w:w="992" w:type="dxa"/>
            <w:tcBorders>
              <w:top w:val="nil"/>
              <w:left w:val="nil"/>
              <w:bottom w:val="nil"/>
              <w:right w:val="nil"/>
            </w:tcBorders>
            <w:shd w:val="clear" w:color="auto" w:fill="auto"/>
            <w:noWrap/>
            <w:vAlign w:val="bottom"/>
          </w:tcPr>
          <w:p w14:paraId="417095AC" w14:textId="4232D91B"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1.1438</w:t>
            </w:r>
          </w:p>
        </w:tc>
        <w:tc>
          <w:tcPr>
            <w:tcW w:w="851" w:type="dxa"/>
            <w:tcBorders>
              <w:top w:val="nil"/>
              <w:left w:val="nil"/>
              <w:bottom w:val="nil"/>
              <w:right w:val="nil"/>
            </w:tcBorders>
            <w:shd w:val="clear" w:color="auto" w:fill="auto"/>
            <w:noWrap/>
            <w:vAlign w:val="bottom"/>
          </w:tcPr>
          <w:p w14:paraId="172ABC4E" w14:textId="79947259"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2</w:t>
            </w:r>
          </w:p>
        </w:tc>
        <w:tc>
          <w:tcPr>
            <w:tcW w:w="708" w:type="dxa"/>
            <w:tcBorders>
              <w:top w:val="nil"/>
              <w:left w:val="nil"/>
              <w:bottom w:val="nil"/>
              <w:right w:val="single" w:sz="4" w:space="0" w:color="auto"/>
            </w:tcBorders>
            <w:shd w:val="clear" w:color="auto" w:fill="auto"/>
            <w:noWrap/>
            <w:vAlign w:val="bottom"/>
          </w:tcPr>
          <w:p w14:paraId="5D86C77D" w14:textId="638A0D73"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6</w:t>
            </w:r>
          </w:p>
        </w:tc>
      </w:tr>
      <w:tr w:rsidR="00644ACA" w:rsidRPr="00C32176" w14:paraId="049D4D83" w14:textId="77777777" w:rsidTr="000F163D">
        <w:trPr>
          <w:trHeight w:val="300"/>
        </w:trPr>
        <w:tc>
          <w:tcPr>
            <w:tcW w:w="1008" w:type="dxa"/>
            <w:tcBorders>
              <w:top w:val="nil"/>
              <w:left w:val="single" w:sz="4" w:space="0" w:color="auto"/>
              <w:bottom w:val="single" w:sz="4" w:space="0" w:color="auto"/>
              <w:right w:val="nil"/>
            </w:tcBorders>
            <w:shd w:val="clear" w:color="auto" w:fill="auto"/>
            <w:noWrap/>
            <w:vAlign w:val="bottom"/>
          </w:tcPr>
          <w:p w14:paraId="4387C544" w14:textId="184BC269" w:rsidR="00644ACA"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3-Diss</w:t>
            </w:r>
          </w:p>
        </w:tc>
        <w:tc>
          <w:tcPr>
            <w:tcW w:w="850" w:type="dxa"/>
            <w:tcBorders>
              <w:top w:val="nil"/>
              <w:left w:val="nil"/>
              <w:bottom w:val="single" w:sz="4" w:space="0" w:color="auto"/>
              <w:right w:val="nil"/>
            </w:tcBorders>
            <w:shd w:val="clear" w:color="auto" w:fill="auto"/>
            <w:noWrap/>
            <w:vAlign w:val="bottom"/>
          </w:tcPr>
          <w:p w14:paraId="4AA79F10" w14:textId="79189E6C"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.0096</w:t>
            </w:r>
          </w:p>
        </w:tc>
        <w:tc>
          <w:tcPr>
            <w:tcW w:w="851" w:type="dxa"/>
            <w:tcBorders>
              <w:top w:val="nil"/>
              <w:left w:val="nil"/>
              <w:bottom w:val="single" w:sz="4" w:space="0" w:color="auto"/>
              <w:right w:val="nil"/>
            </w:tcBorders>
            <w:shd w:val="clear" w:color="auto" w:fill="auto"/>
            <w:noWrap/>
            <w:vAlign w:val="bottom"/>
          </w:tcPr>
          <w:p w14:paraId="1B8E0F18" w14:textId="40829164"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.0989</w:t>
            </w:r>
          </w:p>
        </w:tc>
        <w:tc>
          <w:tcPr>
            <w:tcW w:w="850" w:type="dxa"/>
            <w:tcBorders>
              <w:top w:val="nil"/>
              <w:left w:val="nil"/>
              <w:bottom w:val="single" w:sz="4" w:space="0" w:color="auto"/>
              <w:right w:val="nil"/>
            </w:tcBorders>
            <w:shd w:val="clear" w:color="auto" w:fill="auto"/>
            <w:noWrap/>
            <w:vAlign w:val="bottom"/>
          </w:tcPr>
          <w:p w14:paraId="33E5BCDF" w14:textId="6C10826A"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.1126</w:t>
            </w:r>
          </w:p>
        </w:tc>
        <w:tc>
          <w:tcPr>
            <w:tcW w:w="851" w:type="dxa"/>
            <w:tcBorders>
              <w:top w:val="nil"/>
              <w:left w:val="nil"/>
              <w:bottom w:val="single" w:sz="4" w:space="0" w:color="auto"/>
              <w:right w:val="nil"/>
            </w:tcBorders>
            <w:shd w:val="clear" w:color="auto" w:fill="auto"/>
            <w:noWrap/>
            <w:vAlign w:val="bottom"/>
          </w:tcPr>
          <w:p w14:paraId="0F8B96D9" w14:textId="50681B96" w:rsidR="00644ACA"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.397</w:t>
            </w:r>
          </w:p>
        </w:tc>
        <w:tc>
          <w:tcPr>
            <w:tcW w:w="708" w:type="dxa"/>
            <w:tcBorders>
              <w:top w:val="nil"/>
              <w:left w:val="nil"/>
              <w:bottom w:val="single" w:sz="4" w:space="0" w:color="auto"/>
              <w:right w:val="nil"/>
            </w:tcBorders>
            <w:shd w:val="clear" w:color="auto" w:fill="auto"/>
            <w:noWrap/>
            <w:vAlign w:val="bottom"/>
          </w:tcPr>
          <w:p w14:paraId="7926C285" w14:textId="47345AC0"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.113</w:t>
            </w:r>
          </w:p>
        </w:tc>
        <w:tc>
          <w:tcPr>
            <w:tcW w:w="851" w:type="dxa"/>
            <w:tcBorders>
              <w:top w:val="nil"/>
              <w:left w:val="nil"/>
              <w:bottom w:val="single" w:sz="4" w:space="0" w:color="auto"/>
              <w:right w:val="nil"/>
            </w:tcBorders>
            <w:shd w:val="clear" w:color="auto" w:fill="auto"/>
            <w:noWrap/>
            <w:vAlign w:val="bottom"/>
          </w:tcPr>
          <w:p w14:paraId="5F01514A" w14:textId="01D1845B" w:rsidR="00644ACA" w:rsidRPr="00C32176" w:rsidRDefault="00644AC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500.9</w:t>
            </w:r>
          </w:p>
        </w:tc>
        <w:tc>
          <w:tcPr>
            <w:tcW w:w="993" w:type="dxa"/>
            <w:tcBorders>
              <w:top w:val="nil"/>
              <w:left w:val="nil"/>
              <w:bottom w:val="single" w:sz="4" w:space="0" w:color="auto"/>
              <w:right w:val="nil"/>
            </w:tcBorders>
            <w:shd w:val="clear" w:color="auto" w:fill="auto"/>
            <w:noWrap/>
            <w:vAlign w:val="bottom"/>
          </w:tcPr>
          <w:p w14:paraId="50987027" w14:textId="53C96EF8"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1.1518</w:t>
            </w:r>
          </w:p>
        </w:tc>
        <w:tc>
          <w:tcPr>
            <w:tcW w:w="992" w:type="dxa"/>
            <w:tcBorders>
              <w:top w:val="nil"/>
              <w:left w:val="nil"/>
              <w:bottom w:val="single" w:sz="4" w:space="0" w:color="auto"/>
              <w:right w:val="nil"/>
            </w:tcBorders>
            <w:shd w:val="clear" w:color="auto" w:fill="auto"/>
            <w:noWrap/>
            <w:vAlign w:val="bottom"/>
          </w:tcPr>
          <w:p w14:paraId="03137412" w14:textId="71B30671" w:rsidR="00644ACA" w:rsidRPr="00C32176" w:rsidRDefault="00CE71AA"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1.1443</w:t>
            </w:r>
          </w:p>
        </w:tc>
        <w:tc>
          <w:tcPr>
            <w:tcW w:w="851" w:type="dxa"/>
            <w:tcBorders>
              <w:top w:val="nil"/>
              <w:left w:val="nil"/>
              <w:bottom w:val="single" w:sz="4" w:space="0" w:color="auto"/>
              <w:right w:val="nil"/>
            </w:tcBorders>
            <w:shd w:val="clear" w:color="auto" w:fill="auto"/>
            <w:noWrap/>
            <w:vAlign w:val="bottom"/>
          </w:tcPr>
          <w:p w14:paraId="1C58793C" w14:textId="4EF3A8EE"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w:t>
            </w:r>
          </w:p>
        </w:tc>
        <w:tc>
          <w:tcPr>
            <w:tcW w:w="708" w:type="dxa"/>
            <w:tcBorders>
              <w:top w:val="nil"/>
              <w:left w:val="nil"/>
              <w:bottom w:val="single" w:sz="4" w:space="0" w:color="auto"/>
              <w:right w:val="single" w:sz="4" w:space="0" w:color="auto"/>
            </w:tcBorders>
            <w:shd w:val="clear" w:color="auto" w:fill="auto"/>
            <w:noWrap/>
            <w:vAlign w:val="bottom"/>
          </w:tcPr>
          <w:p w14:paraId="092FAA1A" w14:textId="2D885C21" w:rsidR="00644ACA" w:rsidRPr="00C32176" w:rsidRDefault="00161C57" w:rsidP="008043B8">
            <w:pPr>
              <w:jc w:val="center"/>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0</w:t>
            </w:r>
          </w:p>
        </w:tc>
      </w:tr>
    </w:tbl>
    <w:p w14:paraId="63683CEC" w14:textId="458A87EC" w:rsidR="004B09E4" w:rsidRPr="009D53EE" w:rsidRDefault="004B09E4" w:rsidP="004B09E4">
      <w:pPr>
        <w:spacing w:before="240"/>
        <w:rPr>
          <w:rFonts w:ascii="Times New Roman" w:hAnsi="Times New Roman" w:cs="Times New Roman"/>
        </w:rPr>
      </w:pPr>
      <w:r w:rsidRPr="00833E99">
        <w:rPr>
          <w:rFonts w:ascii="Times New Roman" w:hAnsi="Times New Roman" w:cs="Times New Roman"/>
          <w:i/>
        </w:rPr>
        <w:t>Note</w:t>
      </w:r>
      <w:r>
        <w:rPr>
          <w:rFonts w:ascii="Times New Roman" w:hAnsi="Times New Roman" w:cs="Times New Roman"/>
          <w:i/>
        </w:rPr>
        <w:t xml:space="preserve">. </w:t>
      </w:r>
      <w:r>
        <w:rPr>
          <w:rFonts w:ascii="Times New Roman" w:hAnsi="Times New Roman" w:cs="Times New Roman"/>
        </w:rPr>
        <w:t xml:space="preserve">In these models, </w:t>
      </w:r>
      <w:r w:rsidRPr="00833E99">
        <w:rPr>
          <w:rFonts w:ascii="Times New Roman" w:hAnsi="Times New Roman" w:cs="Times New Roman"/>
        </w:rPr>
        <w:t>0-Self</w:t>
      </w:r>
      <w:r>
        <w:rPr>
          <w:rFonts w:ascii="Times New Roman" w:hAnsi="Times New Roman" w:cs="Times New Roman"/>
          <w:i/>
        </w:rPr>
        <w:t xml:space="preserve"> </w:t>
      </w:r>
      <w:r>
        <w:rPr>
          <w:rFonts w:ascii="Times New Roman" w:hAnsi="Times New Roman" w:cs="Times New Roman"/>
        </w:rPr>
        <w:t xml:space="preserve">estimated weights on taste and health, threshold </w:t>
      </w:r>
      <w:r w:rsidRPr="002A4BAF">
        <w:rPr>
          <w:rFonts w:ascii="Times New Roman" w:hAnsi="Times New Roman" w:cs="Times New Roman"/>
          <w:i/>
        </w:rPr>
        <w:t>Z</w:t>
      </w:r>
      <w:r>
        <w:rPr>
          <w:rFonts w:ascii="Times New Roman" w:hAnsi="Times New Roman" w:cs="Times New Roman"/>
        </w:rPr>
        <w:t xml:space="preserve"> and non-decision time </w:t>
      </w:r>
      <w:r w:rsidR="00B61C21" w:rsidRPr="002A4BAF">
        <w:rPr>
          <w:rFonts w:ascii="Times New Roman" w:hAnsi="Times New Roman" w:cs="Times New Roman"/>
          <w:i/>
        </w:rPr>
        <w:t>ter</w:t>
      </w:r>
      <w:r w:rsidR="00B61C21">
        <w:rPr>
          <w:rFonts w:ascii="Times New Roman" w:hAnsi="Times New Roman" w:cs="Times New Roman"/>
        </w:rPr>
        <w:t xml:space="preserve"> </w:t>
      </w:r>
      <w:r>
        <w:rPr>
          <w:rFonts w:ascii="Times New Roman" w:hAnsi="Times New Roman" w:cs="Times New Roman"/>
        </w:rPr>
        <w:t xml:space="preserve">during choices for one’s </w:t>
      </w:r>
      <w:r>
        <w:rPr>
          <w:rFonts w:ascii="Times New Roman" w:hAnsi="Times New Roman" w:cs="Times New Roman"/>
          <w:i/>
        </w:rPr>
        <w:t>Own</w:t>
      </w:r>
      <w:r>
        <w:rPr>
          <w:rFonts w:ascii="Times New Roman" w:hAnsi="Times New Roman" w:cs="Times New Roman"/>
        </w:rPr>
        <w:t xml:space="preserve"> self. 0-Sim</w:t>
      </w:r>
      <w:r w:rsidR="00BE3C90">
        <w:rPr>
          <w:rFonts w:ascii="Times New Roman" w:hAnsi="Times New Roman" w:cs="Times New Roman"/>
        </w:rPr>
        <w:t>(Diss)</w:t>
      </w:r>
      <w:r>
        <w:rPr>
          <w:rFonts w:ascii="Times New Roman" w:hAnsi="Times New Roman" w:cs="Times New Roman"/>
        </w:rPr>
        <w:t xml:space="preserve"> estimates the same parameters for the</w:t>
      </w:r>
      <w:r w:rsidRPr="00534B59">
        <w:rPr>
          <w:rFonts w:ascii="Times New Roman" w:hAnsi="Times New Roman" w:cs="Times New Roman"/>
          <w:i/>
        </w:rPr>
        <w:t xml:space="preserve"> Similar</w:t>
      </w:r>
      <w:r w:rsidR="00BE3C90" w:rsidRPr="00534B59">
        <w:rPr>
          <w:rFonts w:ascii="Times New Roman" w:hAnsi="Times New Roman" w:cs="Times New Roman"/>
          <w:i/>
        </w:rPr>
        <w:t>(Dissimilar)</w:t>
      </w:r>
      <w:r>
        <w:rPr>
          <w:rFonts w:ascii="Times New Roman" w:hAnsi="Times New Roman" w:cs="Times New Roman"/>
        </w:rPr>
        <w:t xml:space="preserve"> other condition, assuming no early egocentric bias. 1-Sim</w:t>
      </w:r>
      <w:r w:rsidR="00BE3C90">
        <w:rPr>
          <w:rFonts w:ascii="Times New Roman" w:hAnsi="Times New Roman" w:cs="Times New Roman"/>
        </w:rPr>
        <w:t>(Diss)</w:t>
      </w:r>
      <w:r>
        <w:rPr>
          <w:rFonts w:ascii="Times New Roman" w:hAnsi="Times New Roman" w:cs="Times New Roman"/>
        </w:rPr>
        <w:t xml:space="preserve"> includes the possibility of a delayed shift at time T from weights estimated for one’s </w:t>
      </w:r>
      <w:r>
        <w:rPr>
          <w:rFonts w:ascii="Times New Roman" w:hAnsi="Times New Roman" w:cs="Times New Roman"/>
          <w:i/>
        </w:rPr>
        <w:t>Own</w:t>
      </w:r>
      <w:r>
        <w:rPr>
          <w:rFonts w:ascii="Times New Roman" w:hAnsi="Times New Roman" w:cs="Times New Roman"/>
        </w:rPr>
        <w:t xml:space="preserve"> self to new weights for the other estimated from the data. 2-Sim</w:t>
      </w:r>
      <w:r w:rsidR="00BE3C90">
        <w:rPr>
          <w:rFonts w:ascii="Times New Roman" w:hAnsi="Times New Roman" w:cs="Times New Roman"/>
        </w:rPr>
        <w:t>(Diss)</w:t>
      </w:r>
      <w:r>
        <w:rPr>
          <w:rFonts w:ascii="Times New Roman" w:hAnsi="Times New Roman" w:cs="Times New Roman"/>
        </w:rPr>
        <w:t xml:space="preserve"> allows both a delayed shift and a gradual transition at a rate </w:t>
      </w:r>
      <w:r w:rsidRPr="00833E99">
        <w:rPr>
          <w:rFonts w:ascii="Times New Roman" w:hAnsi="Times New Roman" w:cs="Times New Roman"/>
          <w:i/>
        </w:rPr>
        <w:t>r</w:t>
      </w:r>
      <w:r>
        <w:rPr>
          <w:rFonts w:ascii="Times New Roman" w:hAnsi="Times New Roman" w:cs="Times New Roman"/>
        </w:rPr>
        <w:t xml:space="preserve"> from the old to the new weights. BIC and AIC values (x 10</w:t>
      </w:r>
      <w:r>
        <w:rPr>
          <w:rFonts w:ascii="Times New Roman" w:hAnsi="Times New Roman" w:cs="Times New Roman"/>
          <w:vertAlign w:val="superscript"/>
        </w:rPr>
        <w:t>-5</w:t>
      </w:r>
      <w:r>
        <w:rPr>
          <w:rFonts w:ascii="Times New Roman" w:hAnsi="Times New Roman" w:cs="Times New Roman"/>
        </w:rPr>
        <w:t xml:space="preserve">) represent the total across all subjects. # Pp represents the number of individual participants who are fit better by one model or the other, as measured by either BIC or AIC. Bolded values indicate the most parsimonious model, based on each criterion. </w:t>
      </w:r>
    </w:p>
    <w:p w14:paraId="30F607C5" w14:textId="77777777" w:rsidR="004B09E4" w:rsidRDefault="004B09E4" w:rsidP="004B09E4">
      <w:pPr>
        <w:rPr>
          <w:rFonts w:ascii="Times New Roman" w:hAnsi="Times New Roman" w:cs="Times New Roman"/>
          <w:iCs/>
        </w:rPr>
      </w:pPr>
    </w:p>
    <w:p w14:paraId="0912C066" w14:textId="77777777" w:rsidR="00F6510A" w:rsidRPr="007C17BB" w:rsidRDefault="00F6510A" w:rsidP="00F6510A">
      <w:pPr>
        <w:rPr>
          <w:rFonts w:ascii="Times New Roman" w:hAnsi="Times New Roman" w:cs="Times New Roman"/>
        </w:rPr>
      </w:pPr>
    </w:p>
    <w:p w14:paraId="026B79C7" w14:textId="42AD38D9" w:rsidR="008B594D" w:rsidRPr="008B594D" w:rsidRDefault="008B594D" w:rsidP="008B594D">
      <w:pPr>
        <w:rPr>
          <w:rFonts w:ascii="Times New Roman" w:hAnsi="Times New Roman" w:cs="Times New Roman"/>
        </w:rPr>
      </w:pPr>
    </w:p>
    <w:sectPr w:rsidR="008B594D" w:rsidRPr="008B594D" w:rsidSect="000331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73BA"/>
    <w:multiLevelType w:val="hybridMultilevel"/>
    <w:tmpl w:val="5840016C"/>
    <w:lvl w:ilvl="0" w:tplc="BAD88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407BA7"/>
    <w:multiLevelType w:val="hybridMultilevel"/>
    <w:tmpl w:val="9EB2A4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8150C"/>
    <w:multiLevelType w:val="hybridMultilevel"/>
    <w:tmpl w:val="D4F45408"/>
    <w:lvl w:ilvl="0" w:tplc="C6FC3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A2D87"/>
    <w:multiLevelType w:val="hybridMultilevel"/>
    <w:tmpl w:val="965E076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5F1441A"/>
    <w:multiLevelType w:val="hybridMultilevel"/>
    <w:tmpl w:val="E1D4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06550C"/>
    <w:multiLevelType w:val="hybridMultilevel"/>
    <w:tmpl w:val="DC40078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A452287"/>
    <w:multiLevelType w:val="hybridMultilevel"/>
    <w:tmpl w:val="D5968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F0353E"/>
    <w:multiLevelType w:val="hybridMultilevel"/>
    <w:tmpl w:val="65606FD0"/>
    <w:lvl w:ilvl="0" w:tplc="1CBEF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7143DE8"/>
    <w:multiLevelType w:val="hybridMultilevel"/>
    <w:tmpl w:val="9EB2A4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FA525E"/>
    <w:multiLevelType w:val="hybridMultilevel"/>
    <w:tmpl w:val="A2A63ED2"/>
    <w:lvl w:ilvl="0" w:tplc="0409000F">
      <w:start w:val="1"/>
      <w:numFmt w:val="decimal"/>
      <w:lvlText w:val="%1."/>
      <w:lvlJc w:val="left"/>
      <w:pPr>
        <w:ind w:left="720" w:hanging="360"/>
      </w:pPr>
      <w:rPr>
        <w:rFonts w:hint="default"/>
      </w:rPr>
    </w:lvl>
    <w:lvl w:ilvl="1" w:tplc="5878888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
  </w:num>
  <w:num w:numId="5">
    <w:abstractNumId w:val="2"/>
  </w:num>
  <w:num w:numId="6">
    <w:abstractNumId w:val="0"/>
  </w:num>
  <w:num w:numId="7">
    <w:abstractNumId w:val="7"/>
  </w:num>
  <w:num w:numId="8">
    <w:abstractNumId w:val="6"/>
  </w:num>
  <w:num w:numId="9">
    <w:abstractNumId w:val="1"/>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Harris">
    <w15:presenceInfo w15:providerId="None" w15:userId="Alison Ha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14F"/>
    <w:rsid w:val="00003512"/>
    <w:rsid w:val="00003851"/>
    <w:rsid w:val="00004A58"/>
    <w:rsid w:val="00005F09"/>
    <w:rsid w:val="00013304"/>
    <w:rsid w:val="00013AB3"/>
    <w:rsid w:val="000172CC"/>
    <w:rsid w:val="000221FD"/>
    <w:rsid w:val="00022826"/>
    <w:rsid w:val="0002319E"/>
    <w:rsid w:val="000238D5"/>
    <w:rsid w:val="00023D2F"/>
    <w:rsid w:val="0002466D"/>
    <w:rsid w:val="00032536"/>
    <w:rsid w:val="0003316B"/>
    <w:rsid w:val="00036446"/>
    <w:rsid w:val="00040A14"/>
    <w:rsid w:val="000420C7"/>
    <w:rsid w:val="00050808"/>
    <w:rsid w:val="0005489E"/>
    <w:rsid w:val="00056891"/>
    <w:rsid w:val="00056FE0"/>
    <w:rsid w:val="00061C44"/>
    <w:rsid w:val="00070315"/>
    <w:rsid w:val="00072785"/>
    <w:rsid w:val="00072FE6"/>
    <w:rsid w:val="00075B2B"/>
    <w:rsid w:val="0007640D"/>
    <w:rsid w:val="00077292"/>
    <w:rsid w:val="0008133B"/>
    <w:rsid w:val="00085D56"/>
    <w:rsid w:val="00093083"/>
    <w:rsid w:val="000952E2"/>
    <w:rsid w:val="00097919"/>
    <w:rsid w:val="000B0B7D"/>
    <w:rsid w:val="000B20B4"/>
    <w:rsid w:val="000B3FC5"/>
    <w:rsid w:val="000B4A14"/>
    <w:rsid w:val="000B5C9E"/>
    <w:rsid w:val="000B614F"/>
    <w:rsid w:val="000C549B"/>
    <w:rsid w:val="000D0EE8"/>
    <w:rsid w:val="000D4686"/>
    <w:rsid w:val="000D4B1F"/>
    <w:rsid w:val="000D52F0"/>
    <w:rsid w:val="000E2E0F"/>
    <w:rsid w:val="000E2F2C"/>
    <w:rsid w:val="000E39D3"/>
    <w:rsid w:val="000E4DFF"/>
    <w:rsid w:val="000E6732"/>
    <w:rsid w:val="000E6A61"/>
    <w:rsid w:val="000F163D"/>
    <w:rsid w:val="000F23B4"/>
    <w:rsid w:val="000F7D5C"/>
    <w:rsid w:val="00125794"/>
    <w:rsid w:val="00126570"/>
    <w:rsid w:val="001311F9"/>
    <w:rsid w:val="001479E5"/>
    <w:rsid w:val="001500E3"/>
    <w:rsid w:val="001517EA"/>
    <w:rsid w:val="00157178"/>
    <w:rsid w:val="0016027C"/>
    <w:rsid w:val="00161C57"/>
    <w:rsid w:val="001632BD"/>
    <w:rsid w:val="00163B6A"/>
    <w:rsid w:val="00163BBD"/>
    <w:rsid w:val="00165B10"/>
    <w:rsid w:val="00166925"/>
    <w:rsid w:val="00167910"/>
    <w:rsid w:val="00180AD0"/>
    <w:rsid w:val="001814B8"/>
    <w:rsid w:val="001835BF"/>
    <w:rsid w:val="00187E34"/>
    <w:rsid w:val="00190CE3"/>
    <w:rsid w:val="001927BB"/>
    <w:rsid w:val="0019479F"/>
    <w:rsid w:val="001947B3"/>
    <w:rsid w:val="001A1099"/>
    <w:rsid w:val="001A25F2"/>
    <w:rsid w:val="001A5116"/>
    <w:rsid w:val="001B09A0"/>
    <w:rsid w:val="001B1D9E"/>
    <w:rsid w:val="001B33E2"/>
    <w:rsid w:val="001C3398"/>
    <w:rsid w:val="001D070F"/>
    <w:rsid w:val="001D53CD"/>
    <w:rsid w:val="001D59F2"/>
    <w:rsid w:val="001D5ABB"/>
    <w:rsid w:val="001D73AE"/>
    <w:rsid w:val="001E7B29"/>
    <w:rsid w:val="001F20B5"/>
    <w:rsid w:val="001F305D"/>
    <w:rsid w:val="001F3CF6"/>
    <w:rsid w:val="001F5555"/>
    <w:rsid w:val="001F69E9"/>
    <w:rsid w:val="00202CAB"/>
    <w:rsid w:val="00204115"/>
    <w:rsid w:val="00204696"/>
    <w:rsid w:val="00204975"/>
    <w:rsid w:val="00204E46"/>
    <w:rsid w:val="00205B38"/>
    <w:rsid w:val="00211D63"/>
    <w:rsid w:val="00220EEA"/>
    <w:rsid w:val="00222769"/>
    <w:rsid w:val="00230E45"/>
    <w:rsid w:val="00230FCF"/>
    <w:rsid w:val="00237EFF"/>
    <w:rsid w:val="002410FE"/>
    <w:rsid w:val="002426D3"/>
    <w:rsid w:val="00252A7C"/>
    <w:rsid w:val="00260EF4"/>
    <w:rsid w:val="00265608"/>
    <w:rsid w:val="00271E37"/>
    <w:rsid w:val="002720CE"/>
    <w:rsid w:val="00276607"/>
    <w:rsid w:val="002768B3"/>
    <w:rsid w:val="00282049"/>
    <w:rsid w:val="00287BEC"/>
    <w:rsid w:val="00291FDA"/>
    <w:rsid w:val="002A4BAF"/>
    <w:rsid w:val="002A7E7C"/>
    <w:rsid w:val="002B2A6B"/>
    <w:rsid w:val="002B5C61"/>
    <w:rsid w:val="002B7988"/>
    <w:rsid w:val="002C1089"/>
    <w:rsid w:val="002D0FB9"/>
    <w:rsid w:val="002E0660"/>
    <w:rsid w:val="002E67C3"/>
    <w:rsid w:val="002E7316"/>
    <w:rsid w:val="002F1090"/>
    <w:rsid w:val="002F2240"/>
    <w:rsid w:val="002F503C"/>
    <w:rsid w:val="002F53AE"/>
    <w:rsid w:val="002F586A"/>
    <w:rsid w:val="002F5901"/>
    <w:rsid w:val="00311CD0"/>
    <w:rsid w:val="003153AD"/>
    <w:rsid w:val="00315A0A"/>
    <w:rsid w:val="00316881"/>
    <w:rsid w:val="00316D64"/>
    <w:rsid w:val="00321E86"/>
    <w:rsid w:val="00335E26"/>
    <w:rsid w:val="00337DE0"/>
    <w:rsid w:val="00342622"/>
    <w:rsid w:val="00343B0A"/>
    <w:rsid w:val="00344799"/>
    <w:rsid w:val="003473DA"/>
    <w:rsid w:val="003476A5"/>
    <w:rsid w:val="00360BEE"/>
    <w:rsid w:val="00372BFE"/>
    <w:rsid w:val="00386697"/>
    <w:rsid w:val="003900A3"/>
    <w:rsid w:val="00395A06"/>
    <w:rsid w:val="003A0DB9"/>
    <w:rsid w:val="003A2609"/>
    <w:rsid w:val="003A396C"/>
    <w:rsid w:val="003B00B1"/>
    <w:rsid w:val="003B1663"/>
    <w:rsid w:val="003B23E7"/>
    <w:rsid w:val="003B7C1C"/>
    <w:rsid w:val="003C3336"/>
    <w:rsid w:val="003C3983"/>
    <w:rsid w:val="003C6DD1"/>
    <w:rsid w:val="003D0365"/>
    <w:rsid w:val="003D61B7"/>
    <w:rsid w:val="003E18B9"/>
    <w:rsid w:val="003E2BAE"/>
    <w:rsid w:val="003E39D3"/>
    <w:rsid w:val="003E46C2"/>
    <w:rsid w:val="003E4DC3"/>
    <w:rsid w:val="003E5396"/>
    <w:rsid w:val="003F39D3"/>
    <w:rsid w:val="003F5970"/>
    <w:rsid w:val="003F5D7C"/>
    <w:rsid w:val="003F7461"/>
    <w:rsid w:val="004012F3"/>
    <w:rsid w:val="00401A63"/>
    <w:rsid w:val="00407746"/>
    <w:rsid w:val="0041033A"/>
    <w:rsid w:val="00412C60"/>
    <w:rsid w:val="00413D95"/>
    <w:rsid w:val="00422B5F"/>
    <w:rsid w:val="00425CBE"/>
    <w:rsid w:val="004305BF"/>
    <w:rsid w:val="00431924"/>
    <w:rsid w:val="00431DE0"/>
    <w:rsid w:val="00432B11"/>
    <w:rsid w:val="00433DD9"/>
    <w:rsid w:val="00442297"/>
    <w:rsid w:val="00443F43"/>
    <w:rsid w:val="00443FF3"/>
    <w:rsid w:val="00447F3B"/>
    <w:rsid w:val="004571CD"/>
    <w:rsid w:val="004575AB"/>
    <w:rsid w:val="00457601"/>
    <w:rsid w:val="00467B2B"/>
    <w:rsid w:val="00471574"/>
    <w:rsid w:val="0047445C"/>
    <w:rsid w:val="00474652"/>
    <w:rsid w:val="00474C0A"/>
    <w:rsid w:val="00474C30"/>
    <w:rsid w:val="00476730"/>
    <w:rsid w:val="00486E75"/>
    <w:rsid w:val="00487113"/>
    <w:rsid w:val="00491BF8"/>
    <w:rsid w:val="00495C51"/>
    <w:rsid w:val="00495F1F"/>
    <w:rsid w:val="00497A99"/>
    <w:rsid w:val="004A27C8"/>
    <w:rsid w:val="004A39AB"/>
    <w:rsid w:val="004A59C9"/>
    <w:rsid w:val="004B09E4"/>
    <w:rsid w:val="004C0A9B"/>
    <w:rsid w:val="004C1CB6"/>
    <w:rsid w:val="004C1DCA"/>
    <w:rsid w:val="004C3B61"/>
    <w:rsid w:val="004C4D2D"/>
    <w:rsid w:val="004C4D90"/>
    <w:rsid w:val="004C5C7B"/>
    <w:rsid w:val="004C7BC1"/>
    <w:rsid w:val="004D45F3"/>
    <w:rsid w:val="004D5D50"/>
    <w:rsid w:val="004E0FDE"/>
    <w:rsid w:val="004E7733"/>
    <w:rsid w:val="004F31A0"/>
    <w:rsid w:val="004F32B8"/>
    <w:rsid w:val="004F5FAD"/>
    <w:rsid w:val="00502AE8"/>
    <w:rsid w:val="00503B64"/>
    <w:rsid w:val="00506997"/>
    <w:rsid w:val="00506A0F"/>
    <w:rsid w:val="00513ACA"/>
    <w:rsid w:val="00516E3E"/>
    <w:rsid w:val="00517EF2"/>
    <w:rsid w:val="005261B7"/>
    <w:rsid w:val="00526479"/>
    <w:rsid w:val="00532141"/>
    <w:rsid w:val="005338ED"/>
    <w:rsid w:val="00534B59"/>
    <w:rsid w:val="00536987"/>
    <w:rsid w:val="00540375"/>
    <w:rsid w:val="005603A1"/>
    <w:rsid w:val="00561E10"/>
    <w:rsid w:val="005639D9"/>
    <w:rsid w:val="00564326"/>
    <w:rsid w:val="0056554C"/>
    <w:rsid w:val="005657A1"/>
    <w:rsid w:val="00566749"/>
    <w:rsid w:val="00584AF4"/>
    <w:rsid w:val="00585DA1"/>
    <w:rsid w:val="00586FEA"/>
    <w:rsid w:val="00592B7B"/>
    <w:rsid w:val="0059355B"/>
    <w:rsid w:val="005957D6"/>
    <w:rsid w:val="00597770"/>
    <w:rsid w:val="005A1002"/>
    <w:rsid w:val="005A6141"/>
    <w:rsid w:val="005B3397"/>
    <w:rsid w:val="005B537E"/>
    <w:rsid w:val="005B71D0"/>
    <w:rsid w:val="005C5F23"/>
    <w:rsid w:val="005C65AF"/>
    <w:rsid w:val="005D7D6D"/>
    <w:rsid w:val="005E428C"/>
    <w:rsid w:val="005E7E76"/>
    <w:rsid w:val="005F3647"/>
    <w:rsid w:val="005F52A8"/>
    <w:rsid w:val="005F7582"/>
    <w:rsid w:val="00600896"/>
    <w:rsid w:val="0060126B"/>
    <w:rsid w:val="006077E5"/>
    <w:rsid w:val="006137B9"/>
    <w:rsid w:val="00621DD4"/>
    <w:rsid w:val="00635968"/>
    <w:rsid w:val="00635F69"/>
    <w:rsid w:val="00644ACA"/>
    <w:rsid w:val="00645015"/>
    <w:rsid w:val="00652698"/>
    <w:rsid w:val="00653A62"/>
    <w:rsid w:val="00653F13"/>
    <w:rsid w:val="00655872"/>
    <w:rsid w:val="0065776B"/>
    <w:rsid w:val="00666ED7"/>
    <w:rsid w:val="00671745"/>
    <w:rsid w:val="006762A7"/>
    <w:rsid w:val="0067645F"/>
    <w:rsid w:val="00687691"/>
    <w:rsid w:val="006919EB"/>
    <w:rsid w:val="006A5428"/>
    <w:rsid w:val="006A57AB"/>
    <w:rsid w:val="006A7552"/>
    <w:rsid w:val="006B1388"/>
    <w:rsid w:val="006B2937"/>
    <w:rsid w:val="006B3423"/>
    <w:rsid w:val="006B47AB"/>
    <w:rsid w:val="006B4A8F"/>
    <w:rsid w:val="006B7F61"/>
    <w:rsid w:val="006C0C6E"/>
    <w:rsid w:val="006C1451"/>
    <w:rsid w:val="006C1C3D"/>
    <w:rsid w:val="006C20AB"/>
    <w:rsid w:val="006E31AE"/>
    <w:rsid w:val="006E3DF1"/>
    <w:rsid w:val="006E4D86"/>
    <w:rsid w:val="006E7B9C"/>
    <w:rsid w:val="006F11C6"/>
    <w:rsid w:val="006F6B3B"/>
    <w:rsid w:val="00700915"/>
    <w:rsid w:val="00704E42"/>
    <w:rsid w:val="00706702"/>
    <w:rsid w:val="007074EA"/>
    <w:rsid w:val="007107C7"/>
    <w:rsid w:val="00711A01"/>
    <w:rsid w:val="00712F31"/>
    <w:rsid w:val="00721F61"/>
    <w:rsid w:val="007246E4"/>
    <w:rsid w:val="00731BDB"/>
    <w:rsid w:val="0075224A"/>
    <w:rsid w:val="00752CD3"/>
    <w:rsid w:val="00753343"/>
    <w:rsid w:val="00753851"/>
    <w:rsid w:val="00754616"/>
    <w:rsid w:val="00754DC5"/>
    <w:rsid w:val="00756291"/>
    <w:rsid w:val="00765BAE"/>
    <w:rsid w:val="0076795A"/>
    <w:rsid w:val="00767BA3"/>
    <w:rsid w:val="00774121"/>
    <w:rsid w:val="00776AF4"/>
    <w:rsid w:val="00780497"/>
    <w:rsid w:val="00780E36"/>
    <w:rsid w:val="007827E9"/>
    <w:rsid w:val="007835C0"/>
    <w:rsid w:val="00783C39"/>
    <w:rsid w:val="00790B06"/>
    <w:rsid w:val="00791519"/>
    <w:rsid w:val="00793477"/>
    <w:rsid w:val="0079373E"/>
    <w:rsid w:val="0079446E"/>
    <w:rsid w:val="007A4185"/>
    <w:rsid w:val="007B0028"/>
    <w:rsid w:val="007B2B0C"/>
    <w:rsid w:val="007B2F86"/>
    <w:rsid w:val="007B7D4B"/>
    <w:rsid w:val="007C090E"/>
    <w:rsid w:val="007C17BB"/>
    <w:rsid w:val="007C54F7"/>
    <w:rsid w:val="007C634D"/>
    <w:rsid w:val="007E03BC"/>
    <w:rsid w:val="007E637F"/>
    <w:rsid w:val="007F43B0"/>
    <w:rsid w:val="007F56F3"/>
    <w:rsid w:val="007F6C8E"/>
    <w:rsid w:val="008037D6"/>
    <w:rsid w:val="008043B8"/>
    <w:rsid w:val="008137A0"/>
    <w:rsid w:val="0081424E"/>
    <w:rsid w:val="008165D6"/>
    <w:rsid w:val="0082145B"/>
    <w:rsid w:val="00822BF1"/>
    <w:rsid w:val="00823E84"/>
    <w:rsid w:val="00827376"/>
    <w:rsid w:val="00827D17"/>
    <w:rsid w:val="00830783"/>
    <w:rsid w:val="0083233B"/>
    <w:rsid w:val="00843418"/>
    <w:rsid w:val="00853213"/>
    <w:rsid w:val="00855B3E"/>
    <w:rsid w:val="008568A6"/>
    <w:rsid w:val="00856C36"/>
    <w:rsid w:val="00861A8E"/>
    <w:rsid w:val="00861DD6"/>
    <w:rsid w:val="00863D06"/>
    <w:rsid w:val="0086560B"/>
    <w:rsid w:val="00866B2C"/>
    <w:rsid w:val="00871664"/>
    <w:rsid w:val="00872074"/>
    <w:rsid w:val="00884843"/>
    <w:rsid w:val="0088765A"/>
    <w:rsid w:val="00891AB9"/>
    <w:rsid w:val="008A2C07"/>
    <w:rsid w:val="008A5FEC"/>
    <w:rsid w:val="008A7B1E"/>
    <w:rsid w:val="008B0DCA"/>
    <w:rsid w:val="008B2FA5"/>
    <w:rsid w:val="008B398D"/>
    <w:rsid w:val="008B594D"/>
    <w:rsid w:val="008C1DC5"/>
    <w:rsid w:val="008D0024"/>
    <w:rsid w:val="008D4733"/>
    <w:rsid w:val="008D508B"/>
    <w:rsid w:val="008E0016"/>
    <w:rsid w:val="008E098A"/>
    <w:rsid w:val="008E31D0"/>
    <w:rsid w:val="008E4A95"/>
    <w:rsid w:val="008E6189"/>
    <w:rsid w:val="008F1058"/>
    <w:rsid w:val="008F3810"/>
    <w:rsid w:val="008F3BF7"/>
    <w:rsid w:val="008F5F0A"/>
    <w:rsid w:val="0090416A"/>
    <w:rsid w:val="00905A36"/>
    <w:rsid w:val="009160B3"/>
    <w:rsid w:val="009246F3"/>
    <w:rsid w:val="00924FFB"/>
    <w:rsid w:val="00941C0A"/>
    <w:rsid w:val="00943154"/>
    <w:rsid w:val="00943E45"/>
    <w:rsid w:val="009504A7"/>
    <w:rsid w:val="00953975"/>
    <w:rsid w:val="00954D6F"/>
    <w:rsid w:val="00954D8C"/>
    <w:rsid w:val="0095530D"/>
    <w:rsid w:val="0096105F"/>
    <w:rsid w:val="00962267"/>
    <w:rsid w:val="009644D1"/>
    <w:rsid w:val="009700B1"/>
    <w:rsid w:val="00971312"/>
    <w:rsid w:val="00971A01"/>
    <w:rsid w:val="00971D77"/>
    <w:rsid w:val="009740A8"/>
    <w:rsid w:val="00974E01"/>
    <w:rsid w:val="00980EEE"/>
    <w:rsid w:val="0098244F"/>
    <w:rsid w:val="00985BC6"/>
    <w:rsid w:val="009876AC"/>
    <w:rsid w:val="00987AA8"/>
    <w:rsid w:val="009A4A79"/>
    <w:rsid w:val="009B10BB"/>
    <w:rsid w:val="009B11A6"/>
    <w:rsid w:val="009B13EE"/>
    <w:rsid w:val="009B58A5"/>
    <w:rsid w:val="009B609C"/>
    <w:rsid w:val="009B78BF"/>
    <w:rsid w:val="009B7C4E"/>
    <w:rsid w:val="009C10E0"/>
    <w:rsid w:val="009C4E8A"/>
    <w:rsid w:val="009D09E5"/>
    <w:rsid w:val="009D415B"/>
    <w:rsid w:val="009F4D56"/>
    <w:rsid w:val="00A016DA"/>
    <w:rsid w:val="00A027A2"/>
    <w:rsid w:val="00A05B2A"/>
    <w:rsid w:val="00A063CB"/>
    <w:rsid w:val="00A11D76"/>
    <w:rsid w:val="00A11EEB"/>
    <w:rsid w:val="00A13163"/>
    <w:rsid w:val="00A132A3"/>
    <w:rsid w:val="00A13E16"/>
    <w:rsid w:val="00A1410B"/>
    <w:rsid w:val="00A149B8"/>
    <w:rsid w:val="00A15E4D"/>
    <w:rsid w:val="00A225EB"/>
    <w:rsid w:val="00A23815"/>
    <w:rsid w:val="00A369AF"/>
    <w:rsid w:val="00A40670"/>
    <w:rsid w:val="00A410BB"/>
    <w:rsid w:val="00A427AB"/>
    <w:rsid w:val="00A4638C"/>
    <w:rsid w:val="00A53F9A"/>
    <w:rsid w:val="00A548BC"/>
    <w:rsid w:val="00A637A2"/>
    <w:rsid w:val="00A671E5"/>
    <w:rsid w:val="00A71EEB"/>
    <w:rsid w:val="00A735A4"/>
    <w:rsid w:val="00A8053F"/>
    <w:rsid w:val="00A82219"/>
    <w:rsid w:val="00A87094"/>
    <w:rsid w:val="00A94AB3"/>
    <w:rsid w:val="00AB095D"/>
    <w:rsid w:val="00AB257B"/>
    <w:rsid w:val="00AB57B5"/>
    <w:rsid w:val="00AC1FF8"/>
    <w:rsid w:val="00AD2BC1"/>
    <w:rsid w:val="00AD387C"/>
    <w:rsid w:val="00AD630B"/>
    <w:rsid w:val="00AE3AE6"/>
    <w:rsid w:val="00AF3038"/>
    <w:rsid w:val="00AF4087"/>
    <w:rsid w:val="00B02756"/>
    <w:rsid w:val="00B03CB3"/>
    <w:rsid w:val="00B11450"/>
    <w:rsid w:val="00B13B0B"/>
    <w:rsid w:val="00B14A87"/>
    <w:rsid w:val="00B163BA"/>
    <w:rsid w:val="00B27178"/>
    <w:rsid w:val="00B27F60"/>
    <w:rsid w:val="00B3078E"/>
    <w:rsid w:val="00B31D43"/>
    <w:rsid w:val="00B37B18"/>
    <w:rsid w:val="00B46137"/>
    <w:rsid w:val="00B479CE"/>
    <w:rsid w:val="00B526D5"/>
    <w:rsid w:val="00B53800"/>
    <w:rsid w:val="00B53A15"/>
    <w:rsid w:val="00B5472C"/>
    <w:rsid w:val="00B61C21"/>
    <w:rsid w:val="00B62143"/>
    <w:rsid w:val="00B6564B"/>
    <w:rsid w:val="00B667BE"/>
    <w:rsid w:val="00B70407"/>
    <w:rsid w:val="00B734AF"/>
    <w:rsid w:val="00B76984"/>
    <w:rsid w:val="00B83F5B"/>
    <w:rsid w:val="00B842D4"/>
    <w:rsid w:val="00B84474"/>
    <w:rsid w:val="00B8652D"/>
    <w:rsid w:val="00B8680E"/>
    <w:rsid w:val="00B9078D"/>
    <w:rsid w:val="00B97C49"/>
    <w:rsid w:val="00BA001B"/>
    <w:rsid w:val="00BA738F"/>
    <w:rsid w:val="00BB19A9"/>
    <w:rsid w:val="00BB4422"/>
    <w:rsid w:val="00BB5808"/>
    <w:rsid w:val="00BB5B27"/>
    <w:rsid w:val="00BC0922"/>
    <w:rsid w:val="00BC5DA0"/>
    <w:rsid w:val="00BD20B7"/>
    <w:rsid w:val="00BD6981"/>
    <w:rsid w:val="00BD733B"/>
    <w:rsid w:val="00BD7888"/>
    <w:rsid w:val="00BE3C90"/>
    <w:rsid w:val="00BE4AAD"/>
    <w:rsid w:val="00BE5068"/>
    <w:rsid w:val="00BE5796"/>
    <w:rsid w:val="00BE606F"/>
    <w:rsid w:val="00BF19C0"/>
    <w:rsid w:val="00BF2294"/>
    <w:rsid w:val="00BF27FD"/>
    <w:rsid w:val="00BF5D51"/>
    <w:rsid w:val="00BF67AE"/>
    <w:rsid w:val="00BF6BDD"/>
    <w:rsid w:val="00BF7EC2"/>
    <w:rsid w:val="00C006C1"/>
    <w:rsid w:val="00C023F5"/>
    <w:rsid w:val="00C053B7"/>
    <w:rsid w:val="00C1228A"/>
    <w:rsid w:val="00C14548"/>
    <w:rsid w:val="00C15B59"/>
    <w:rsid w:val="00C20406"/>
    <w:rsid w:val="00C21064"/>
    <w:rsid w:val="00C243F6"/>
    <w:rsid w:val="00C27619"/>
    <w:rsid w:val="00C30E1A"/>
    <w:rsid w:val="00C32222"/>
    <w:rsid w:val="00C32921"/>
    <w:rsid w:val="00C3522B"/>
    <w:rsid w:val="00C37448"/>
    <w:rsid w:val="00C37450"/>
    <w:rsid w:val="00C411A0"/>
    <w:rsid w:val="00C416CD"/>
    <w:rsid w:val="00C43874"/>
    <w:rsid w:val="00C44E28"/>
    <w:rsid w:val="00C47956"/>
    <w:rsid w:val="00C47E57"/>
    <w:rsid w:val="00C53AA8"/>
    <w:rsid w:val="00C56F7D"/>
    <w:rsid w:val="00C57BD3"/>
    <w:rsid w:val="00C6388C"/>
    <w:rsid w:val="00C66E5F"/>
    <w:rsid w:val="00C67553"/>
    <w:rsid w:val="00C73CE2"/>
    <w:rsid w:val="00C7674B"/>
    <w:rsid w:val="00C831F1"/>
    <w:rsid w:val="00C92C1F"/>
    <w:rsid w:val="00C92C7F"/>
    <w:rsid w:val="00C92F86"/>
    <w:rsid w:val="00C93ECE"/>
    <w:rsid w:val="00C96F11"/>
    <w:rsid w:val="00CA0A4F"/>
    <w:rsid w:val="00CA7D3B"/>
    <w:rsid w:val="00CB0456"/>
    <w:rsid w:val="00CB2D76"/>
    <w:rsid w:val="00CB3FC3"/>
    <w:rsid w:val="00CB421A"/>
    <w:rsid w:val="00CC22B3"/>
    <w:rsid w:val="00CD028A"/>
    <w:rsid w:val="00CD7B0A"/>
    <w:rsid w:val="00CE02B1"/>
    <w:rsid w:val="00CE198C"/>
    <w:rsid w:val="00CE43DF"/>
    <w:rsid w:val="00CE499F"/>
    <w:rsid w:val="00CE71AA"/>
    <w:rsid w:val="00CF11E9"/>
    <w:rsid w:val="00CF207A"/>
    <w:rsid w:val="00CF2127"/>
    <w:rsid w:val="00CF379D"/>
    <w:rsid w:val="00CF4700"/>
    <w:rsid w:val="00CF5435"/>
    <w:rsid w:val="00D002F6"/>
    <w:rsid w:val="00D01E65"/>
    <w:rsid w:val="00D1088F"/>
    <w:rsid w:val="00D140D5"/>
    <w:rsid w:val="00D145C7"/>
    <w:rsid w:val="00D1737D"/>
    <w:rsid w:val="00D20A05"/>
    <w:rsid w:val="00D274EB"/>
    <w:rsid w:val="00D2783C"/>
    <w:rsid w:val="00D306A2"/>
    <w:rsid w:val="00D30BB4"/>
    <w:rsid w:val="00D30EB0"/>
    <w:rsid w:val="00D33131"/>
    <w:rsid w:val="00D377E9"/>
    <w:rsid w:val="00D419EC"/>
    <w:rsid w:val="00D43DBB"/>
    <w:rsid w:val="00D45A2B"/>
    <w:rsid w:val="00D51179"/>
    <w:rsid w:val="00D51AC1"/>
    <w:rsid w:val="00D51DB2"/>
    <w:rsid w:val="00D54A54"/>
    <w:rsid w:val="00D55C76"/>
    <w:rsid w:val="00D573A5"/>
    <w:rsid w:val="00D60CBE"/>
    <w:rsid w:val="00D62394"/>
    <w:rsid w:val="00D705DA"/>
    <w:rsid w:val="00D82241"/>
    <w:rsid w:val="00D82F70"/>
    <w:rsid w:val="00D85748"/>
    <w:rsid w:val="00D87681"/>
    <w:rsid w:val="00D9063C"/>
    <w:rsid w:val="00D930C7"/>
    <w:rsid w:val="00D94DB1"/>
    <w:rsid w:val="00D959FC"/>
    <w:rsid w:val="00D96B9D"/>
    <w:rsid w:val="00D979BB"/>
    <w:rsid w:val="00DA177C"/>
    <w:rsid w:val="00DA65A0"/>
    <w:rsid w:val="00DA66CE"/>
    <w:rsid w:val="00DB43DA"/>
    <w:rsid w:val="00DC1D3E"/>
    <w:rsid w:val="00DC3A4B"/>
    <w:rsid w:val="00DC5FCD"/>
    <w:rsid w:val="00DD44B3"/>
    <w:rsid w:val="00DD4A25"/>
    <w:rsid w:val="00DD6C7B"/>
    <w:rsid w:val="00DE1962"/>
    <w:rsid w:val="00DE5C13"/>
    <w:rsid w:val="00DE5E61"/>
    <w:rsid w:val="00DF2E75"/>
    <w:rsid w:val="00DF4396"/>
    <w:rsid w:val="00DF4667"/>
    <w:rsid w:val="00DF715F"/>
    <w:rsid w:val="00E00A62"/>
    <w:rsid w:val="00E10F45"/>
    <w:rsid w:val="00E15229"/>
    <w:rsid w:val="00E2306E"/>
    <w:rsid w:val="00E2327B"/>
    <w:rsid w:val="00E36195"/>
    <w:rsid w:val="00E45B43"/>
    <w:rsid w:val="00E47ED5"/>
    <w:rsid w:val="00E53647"/>
    <w:rsid w:val="00E572B1"/>
    <w:rsid w:val="00E57918"/>
    <w:rsid w:val="00E57BB4"/>
    <w:rsid w:val="00E63A93"/>
    <w:rsid w:val="00E70E33"/>
    <w:rsid w:val="00E71CA7"/>
    <w:rsid w:val="00E71CEB"/>
    <w:rsid w:val="00E7494C"/>
    <w:rsid w:val="00E83A51"/>
    <w:rsid w:val="00E90DE1"/>
    <w:rsid w:val="00E97F92"/>
    <w:rsid w:val="00EA0177"/>
    <w:rsid w:val="00EA160F"/>
    <w:rsid w:val="00EA54C2"/>
    <w:rsid w:val="00EB097B"/>
    <w:rsid w:val="00EB13DC"/>
    <w:rsid w:val="00EB5F40"/>
    <w:rsid w:val="00EC0027"/>
    <w:rsid w:val="00EC2518"/>
    <w:rsid w:val="00EC49DA"/>
    <w:rsid w:val="00ED180D"/>
    <w:rsid w:val="00EE1965"/>
    <w:rsid w:val="00EF3816"/>
    <w:rsid w:val="00EF67B5"/>
    <w:rsid w:val="00F02622"/>
    <w:rsid w:val="00F07CA0"/>
    <w:rsid w:val="00F1115B"/>
    <w:rsid w:val="00F12C4B"/>
    <w:rsid w:val="00F15344"/>
    <w:rsid w:val="00F17B9D"/>
    <w:rsid w:val="00F27713"/>
    <w:rsid w:val="00F3213D"/>
    <w:rsid w:val="00F4085B"/>
    <w:rsid w:val="00F414BC"/>
    <w:rsid w:val="00F55EE4"/>
    <w:rsid w:val="00F64914"/>
    <w:rsid w:val="00F6510A"/>
    <w:rsid w:val="00F6595F"/>
    <w:rsid w:val="00F67247"/>
    <w:rsid w:val="00F679E3"/>
    <w:rsid w:val="00F7489A"/>
    <w:rsid w:val="00F767C0"/>
    <w:rsid w:val="00F81075"/>
    <w:rsid w:val="00F82A33"/>
    <w:rsid w:val="00F93BEA"/>
    <w:rsid w:val="00F96FE9"/>
    <w:rsid w:val="00FA0581"/>
    <w:rsid w:val="00FA715C"/>
    <w:rsid w:val="00FA7E89"/>
    <w:rsid w:val="00FB12A1"/>
    <w:rsid w:val="00FB1DC2"/>
    <w:rsid w:val="00FB2F5E"/>
    <w:rsid w:val="00FB6692"/>
    <w:rsid w:val="00FC35E3"/>
    <w:rsid w:val="00FC792E"/>
    <w:rsid w:val="00FD2203"/>
    <w:rsid w:val="00FD250C"/>
    <w:rsid w:val="00FD7044"/>
    <w:rsid w:val="00FE2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7B0A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F13"/>
    <w:pPr>
      <w:ind w:left="720"/>
      <w:contextualSpacing/>
    </w:pPr>
  </w:style>
  <w:style w:type="paragraph" w:styleId="BalloonText">
    <w:name w:val="Balloon Text"/>
    <w:basedOn w:val="Normal"/>
    <w:link w:val="BalloonTextChar"/>
    <w:uiPriority w:val="99"/>
    <w:semiHidden/>
    <w:unhideWhenUsed/>
    <w:rsid w:val="00C66E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E5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66E5F"/>
    <w:rPr>
      <w:sz w:val="18"/>
      <w:szCs w:val="18"/>
    </w:rPr>
  </w:style>
  <w:style w:type="paragraph" w:styleId="CommentText">
    <w:name w:val="annotation text"/>
    <w:basedOn w:val="Normal"/>
    <w:link w:val="CommentTextChar"/>
    <w:uiPriority w:val="99"/>
    <w:unhideWhenUsed/>
    <w:rsid w:val="00C66E5F"/>
  </w:style>
  <w:style w:type="character" w:customStyle="1" w:styleId="CommentTextChar">
    <w:name w:val="Comment Text Char"/>
    <w:basedOn w:val="DefaultParagraphFont"/>
    <w:link w:val="CommentText"/>
    <w:uiPriority w:val="99"/>
    <w:rsid w:val="00C66E5F"/>
  </w:style>
  <w:style w:type="paragraph" w:styleId="CommentSubject">
    <w:name w:val="annotation subject"/>
    <w:basedOn w:val="CommentText"/>
    <w:next w:val="CommentText"/>
    <w:link w:val="CommentSubjectChar"/>
    <w:uiPriority w:val="99"/>
    <w:semiHidden/>
    <w:unhideWhenUsed/>
    <w:rsid w:val="00C66E5F"/>
    <w:rPr>
      <w:b/>
      <w:bCs/>
      <w:sz w:val="20"/>
      <w:szCs w:val="20"/>
    </w:rPr>
  </w:style>
  <w:style w:type="character" w:customStyle="1" w:styleId="CommentSubjectChar">
    <w:name w:val="Comment Subject Char"/>
    <w:basedOn w:val="CommentTextChar"/>
    <w:link w:val="CommentSubject"/>
    <w:uiPriority w:val="99"/>
    <w:semiHidden/>
    <w:rsid w:val="00C66E5F"/>
    <w:rPr>
      <w:b/>
      <w:bCs/>
      <w:sz w:val="20"/>
      <w:szCs w:val="20"/>
    </w:rPr>
  </w:style>
  <w:style w:type="paragraph" w:styleId="NormalWeb">
    <w:name w:val="Normal (Web)"/>
    <w:basedOn w:val="Normal"/>
    <w:uiPriority w:val="99"/>
    <w:semiHidden/>
    <w:unhideWhenUsed/>
    <w:rsid w:val="00486E75"/>
    <w:rPr>
      <w:rFonts w:ascii="Times New Roman" w:hAnsi="Times New Roman" w:cs="Times New Roman"/>
    </w:rPr>
  </w:style>
  <w:style w:type="paragraph" w:styleId="Revision">
    <w:name w:val="Revision"/>
    <w:hidden/>
    <w:uiPriority w:val="99"/>
    <w:semiHidden/>
    <w:rsid w:val="00204115"/>
  </w:style>
  <w:style w:type="table" w:styleId="TableGrid">
    <w:name w:val="Table Grid"/>
    <w:basedOn w:val="TableNormal"/>
    <w:uiPriority w:val="39"/>
    <w:rsid w:val="004B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F13"/>
    <w:pPr>
      <w:ind w:left="720"/>
      <w:contextualSpacing/>
    </w:pPr>
  </w:style>
  <w:style w:type="paragraph" w:styleId="BalloonText">
    <w:name w:val="Balloon Text"/>
    <w:basedOn w:val="Normal"/>
    <w:link w:val="BalloonTextChar"/>
    <w:uiPriority w:val="99"/>
    <w:semiHidden/>
    <w:unhideWhenUsed/>
    <w:rsid w:val="00C66E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E5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66E5F"/>
    <w:rPr>
      <w:sz w:val="18"/>
      <w:szCs w:val="18"/>
    </w:rPr>
  </w:style>
  <w:style w:type="paragraph" w:styleId="CommentText">
    <w:name w:val="annotation text"/>
    <w:basedOn w:val="Normal"/>
    <w:link w:val="CommentTextChar"/>
    <w:uiPriority w:val="99"/>
    <w:unhideWhenUsed/>
    <w:rsid w:val="00C66E5F"/>
  </w:style>
  <w:style w:type="character" w:customStyle="1" w:styleId="CommentTextChar">
    <w:name w:val="Comment Text Char"/>
    <w:basedOn w:val="DefaultParagraphFont"/>
    <w:link w:val="CommentText"/>
    <w:uiPriority w:val="99"/>
    <w:rsid w:val="00C66E5F"/>
  </w:style>
  <w:style w:type="paragraph" w:styleId="CommentSubject">
    <w:name w:val="annotation subject"/>
    <w:basedOn w:val="CommentText"/>
    <w:next w:val="CommentText"/>
    <w:link w:val="CommentSubjectChar"/>
    <w:uiPriority w:val="99"/>
    <w:semiHidden/>
    <w:unhideWhenUsed/>
    <w:rsid w:val="00C66E5F"/>
    <w:rPr>
      <w:b/>
      <w:bCs/>
      <w:sz w:val="20"/>
      <w:szCs w:val="20"/>
    </w:rPr>
  </w:style>
  <w:style w:type="character" w:customStyle="1" w:styleId="CommentSubjectChar">
    <w:name w:val="Comment Subject Char"/>
    <w:basedOn w:val="CommentTextChar"/>
    <w:link w:val="CommentSubject"/>
    <w:uiPriority w:val="99"/>
    <w:semiHidden/>
    <w:rsid w:val="00C66E5F"/>
    <w:rPr>
      <w:b/>
      <w:bCs/>
      <w:sz w:val="20"/>
      <w:szCs w:val="20"/>
    </w:rPr>
  </w:style>
  <w:style w:type="paragraph" w:styleId="NormalWeb">
    <w:name w:val="Normal (Web)"/>
    <w:basedOn w:val="Normal"/>
    <w:uiPriority w:val="99"/>
    <w:semiHidden/>
    <w:unhideWhenUsed/>
    <w:rsid w:val="00486E75"/>
    <w:rPr>
      <w:rFonts w:ascii="Times New Roman" w:hAnsi="Times New Roman" w:cs="Times New Roman"/>
    </w:rPr>
  </w:style>
  <w:style w:type="paragraph" w:styleId="Revision">
    <w:name w:val="Revision"/>
    <w:hidden/>
    <w:uiPriority w:val="99"/>
    <w:semiHidden/>
    <w:rsid w:val="00204115"/>
  </w:style>
  <w:style w:type="table" w:styleId="TableGrid">
    <w:name w:val="Table Grid"/>
    <w:basedOn w:val="TableNormal"/>
    <w:uiPriority w:val="39"/>
    <w:rsid w:val="004B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566">
      <w:bodyDiv w:val="1"/>
      <w:marLeft w:val="0"/>
      <w:marRight w:val="0"/>
      <w:marTop w:val="0"/>
      <w:marBottom w:val="0"/>
      <w:divBdr>
        <w:top w:val="none" w:sz="0" w:space="0" w:color="auto"/>
        <w:left w:val="none" w:sz="0" w:space="0" w:color="auto"/>
        <w:bottom w:val="none" w:sz="0" w:space="0" w:color="auto"/>
        <w:right w:val="none" w:sz="0" w:space="0" w:color="auto"/>
      </w:divBdr>
    </w:div>
    <w:div w:id="6711139">
      <w:bodyDiv w:val="1"/>
      <w:marLeft w:val="0"/>
      <w:marRight w:val="0"/>
      <w:marTop w:val="0"/>
      <w:marBottom w:val="0"/>
      <w:divBdr>
        <w:top w:val="none" w:sz="0" w:space="0" w:color="auto"/>
        <w:left w:val="none" w:sz="0" w:space="0" w:color="auto"/>
        <w:bottom w:val="none" w:sz="0" w:space="0" w:color="auto"/>
        <w:right w:val="none" w:sz="0" w:space="0" w:color="auto"/>
      </w:divBdr>
    </w:div>
    <w:div w:id="38016039">
      <w:bodyDiv w:val="1"/>
      <w:marLeft w:val="0"/>
      <w:marRight w:val="0"/>
      <w:marTop w:val="0"/>
      <w:marBottom w:val="0"/>
      <w:divBdr>
        <w:top w:val="none" w:sz="0" w:space="0" w:color="auto"/>
        <w:left w:val="none" w:sz="0" w:space="0" w:color="auto"/>
        <w:bottom w:val="none" w:sz="0" w:space="0" w:color="auto"/>
        <w:right w:val="none" w:sz="0" w:space="0" w:color="auto"/>
      </w:divBdr>
    </w:div>
    <w:div w:id="45955750">
      <w:bodyDiv w:val="1"/>
      <w:marLeft w:val="0"/>
      <w:marRight w:val="0"/>
      <w:marTop w:val="0"/>
      <w:marBottom w:val="0"/>
      <w:divBdr>
        <w:top w:val="none" w:sz="0" w:space="0" w:color="auto"/>
        <w:left w:val="none" w:sz="0" w:space="0" w:color="auto"/>
        <w:bottom w:val="none" w:sz="0" w:space="0" w:color="auto"/>
        <w:right w:val="none" w:sz="0" w:space="0" w:color="auto"/>
      </w:divBdr>
    </w:div>
    <w:div w:id="55131880">
      <w:bodyDiv w:val="1"/>
      <w:marLeft w:val="0"/>
      <w:marRight w:val="0"/>
      <w:marTop w:val="0"/>
      <w:marBottom w:val="0"/>
      <w:divBdr>
        <w:top w:val="none" w:sz="0" w:space="0" w:color="auto"/>
        <w:left w:val="none" w:sz="0" w:space="0" w:color="auto"/>
        <w:bottom w:val="none" w:sz="0" w:space="0" w:color="auto"/>
        <w:right w:val="none" w:sz="0" w:space="0" w:color="auto"/>
      </w:divBdr>
    </w:div>
    <w:div w:id="72817394">
      <w:bodyDiv w:val="1"/>
      <w:marLeft w:val="0"/>
      <w:marRight w:val="0"/>
      <w:marTop w:val="0"/>
      <w:marBottom w:val="0"/>
      <w:divBdr>
        <w:top w:val="none" w:sz="0" w:space="0" w:color="auto"/>
        <w:left w:val="none" w:sz="0" w:space="0" w:color="auto"/>
        <w:bottom w:val="none" w:sz="0" w:space="0" w:color="auto"/>
        <w:right w:val="none" w:sz="0" w:space="0" w:color="auto"/>
      </w:divBdr>
    </w:div>
    <w:div w:id="95099171">
      <w:bodyDiv w:val="1"/>
      <w:marLeft w:val="0"/>
      <w:marRight w:val="0"/>
      <w:marTop w:val="0"/>
      <w:marBottom w:val="0"/>
      <w:divBdr>
        <w:top w:val="none" w:sz="0" w:space="0" w:color="auto"/>
        <w:left w:val="none" w:sz="0" w:space="0" w:color="auto"/>
        <w:bottom w:val="none" w:sz="0" w:space="0" w:color="auto"/>
        <w:right w:val="none" w:sz="0" w:space="0" w:color="auto"/>
      </w:divBdr>
    </w:div>
    <w:div w:id="177816379">
      <w:bodyDiv w:val="1"/>
      <w:marLeft w:val="0"/>
      <w:marRight w:val="0"/>
      <w:marTop w:val="0"/>
      <w:marBottom w:val="0"/>
      <w:divBdr>
        <w:top w:val="none" w:sz="0" w:space="0" w:color="auto"/>
        <w:left w:val="none" w:sz="0" w:space="0" w:color="auto"/>
        <w:bottom w:val="none" w:sz="0" w:space="0" w:color="auto"/>
        <w:right w:val="none" w:sz="0" w:space="0" w:color="auto"/>
      </w:divBdr>
    </w:div>
    <w:div w:id="212229782">
      <w:bodyDiv w:val="1"/>
      <w:marLeft w:val="0"/>
      <w:marRight w:val="0"/>
      <w:marTop w:val="0"/>
      <w:marBottom w:val="0"/>
      <w:divBdr>
        <w:top w:val="none" w:sz="0" w:space="0" w:color="auto"/>
        <w:left w:val="none" w:sz="0" w:space="0" w:color="auto"/>
        <w:bottom w:val="none" w:sz="0" w:space="0" w:color="auto"/>
        <w:right w:val="none" w:sz="0" w:space="0" w:color="auto"/>
      </w:divBdr>
    </w:div>
    <w:div w:id="212889012">
      <w:bodyDiv w:val="1"/>
      <w:marLeft w:val="0"/>
      <w:marRight w:val="0"/>
      <w:marTop w:val="0"/>
      <w:marBottom w:val="0"/>
      <w:divBdr>
        <w:top w:val="none" w:sz="0" w:space="0" w:color="auto"/>
        <w:left w:val="none" w:sz="0" w:space="0" w:color="auto"/>
        <w:bottom w:val="none" w:sz="0" w:space="0" w:color="auto"/>
        <w:right w:val="none" w:sz="0" w:space="0" w:color="auto"/>
      </w:divBdr>
    </w:div>
    <w:div w:id="276181998">
      <w:bodyDiv w:val="1"/>
      <w:marLeft w:val="0"/>
      <w:marRight w:val="0"/>
      <w:marTop w:val="0"/>
      <w:marBottom w:val="0"/>
      <w:divBdr>
        <w:top w:val="none" w:sz="0" w:space="0" w:color="auto"/>
        <w:left w:val="none" w:sz="0" w:space="0" w:color="auto"/>
        <w:bottom w:val="none" w:sz="0" w:space="0" w:color="auto"/>
        <w:right w:val="none" w:sz="0" w:space="0" w:color="auto"/>
      </w:divBdr>
    </w:div>
    <w:div w:id="362170402">
      <w:bodyDiv w:val="1"/>
      <w:marLeft w:val="0"/>
      <w:marRight w:val="0"/>
      <w:marTop w:val="0"/>
      <w:marBottom w:val="0"/>
      <w:divBdr>
        <w:top w:val="none" w:sz="0" w:space="0" w:color="auto"/>
        <w:left w:val="none" w:sz="0" w:space="0" w:color="auto"/>
        <w:bottom w:val="none" w:sz="0" w:space="0" w:color="auto"/>
        <w:right w:val="none" w:sz="0" w:space="0" w:color="auto"/>
      </w:divBdr>
    </w:div>
    <w:div w:id="387189047">
      <w:bodyDiv w:val="1"/>
      <w:marLeft w:val="0"/>
      <w:marRight w:val="0"/>
      <w:marTop w:val="0"/>
      <w:marBottom w:val="0"/>
      <w:divBdr>
        <w:top w:val="none" w:sz="0" w:space="0" w:color="auto"/>
        <w:left w:val="none" w:sz="0" w:space="0" w:color="auto"/>
        <w:bottom w:val="none" w:sz="0" w:space="0" w:color="auto"/>
        <w:right w:val="none" w:sz="0" w:space="0" w:color="auto"/>
      </w:divBdr>
    </w:div>
    <w:div w:id="418142048">
      <w:bodyDiv w:val="1"/>
      <w:marLeft w:val="0"/>
      <w:marRight w:val="0"/>
      <w:marTop w:val="0"/>
      <w:marBottom w:val="0"/>
      <w:divBdr>
        <w:top w:val="none" w:sz="0" w:space="0" w:color="auto"/>
        <w:left w:val="none" w:sz="0" w:space="0" w:color="auto"/>
        <w:bottom w:val="none" w:sz="0" w:space="0" w:color="auto"/>
        <w:right w:val="none" w:sz="0" w:space="0" w:color="auto"/>
      </w:divBdr>
    </w:div>
    <w:div w:id="440876922">
      <w:bodyDiv w:val="1"/>
      <w:marLeft w:val="0"/>
      <w:marRight w:val="0"/>
      <w:marTop w:val="0"/>
      <w:marBottom w:val="0"/>
      <w:divBdr>
        <w:top w:val="none" w:sz="0" w:space="0" w:color="auto"/>
        <w:left w:val="none" w:sz="0" w:space="0" w:color="auto"/>
        <w:bottom w:val="none" w:sz="0" w:space="0" w:color="auto"/>
        <w:right w:val="none" w:sz="0" w:space="0" w:color="auto"/>
      </w:divBdr>
    </w:div>
    <w:div w:id="441345536">
      <w:bodyDiv w:val="1"/>
      <w:marLeft w:val="0"/>
      <w:marRight w:val="0"/>
      <w:marTop w:val="0"/>
      <w:marBottom w:val="0"/>
      <w:divBdr>
        <w:top w:val="none" w:sz="0" w:space="0" w:color="auto"/>
        <w:left w:val="none" w:sz="0" w:space="0" w:color="auto"/>
        <w:bottom w:val="none" w:sz="0" w:space="0" w:color="auto"/>
        <w:right w:val="none" w:sz="0" w:space="0" w:color="auto"/>
      </w:divBdr>
    </w:div>
    <w:div w:id="467360538">
      <w:bodyDiv w:val="1"/>
      <w:marLeft w:val="0"/>
      <w:marRight w:val="0"/>
      <w:marTop w:val="0"/>
      <w:marBottom w:val="0"/>
      <w:divBdr>
        <w:top w:val="none" w:sz="0" w:space="0" w:color="auto"/>
        <w:left w:val="none" w:sz="0" w:space="0" w:color="auto"/>
        <w:bottom w:val="none" w:sz="0" w:space="0" w:color="auto"/>
        <w:right w:val="none" w:sz="0" w:space="0" w:color="auto"/>
      </w:divBdr>
    </w:div>
    <w:div w:id="475607680">
      <w:bodyDiv w:val="1"/>
      <w:marLeft w:val="0"/>
      <w:marRight w:val="0"/>
      <w:marTop w:val="0"/>
      <w:marBottom w:val="0"/>
      <w:divBdr>
        <w:top w:val="none" w:sz="0" w:space="0" w:color="auto"/>
        <w:left w:val="none" w:sz="0" w:space="0" w:color="auto"/>
        <w:bottom w:val="none" w:sz="0" w:space="0" w:color="auto"/>
        <w:right w:val="none" w:sz="0" w:space="0" w:color="auto"/>
      </w:divBdr>
    </w:div>
    <w:div w:id="483468204">
      <w:bodyDiv w:val="1"/>
      <w:marLeft w:val="0"/>
      <w:marRight w:val="0"/>
      <w:marTop w:val="0"/>
      <w:marBottom w:val="0"/>
      <w:divBdr>
        <w:top w:val="none" w:sz="0" w:space="0" w:color="auto"/>
        <w:left w:val="none" w:sz="0" w:space="0" w:color="auto"/>
        <w:bottom w:val="none" w:sz="0" w:space="0" w:color="auto"/>
        <w:right w:val="none" w:sz="0" w:space="0" w:color="auto"/>
      </w:divBdr>
    </w:div>
    <w:div w:id="557057808">
      <w:bodyDiv w:val="1"/>
      <w:marLeft w:val="0"/>
      <w:marRight w:val="0"/>
      <w:marTop w:val="0"/>
      <w:marBottom w:val="0"/>
      <w:divBdr>
        <w:top w:val="none" w:sz="0" w:space="0" w:color="auto"/>
        <w:left w:val="none" w:sz="0" w:space="0" w:color="auto"/>
        <w:bottom w:val="none" w:sz="0" w:space="0" w:color="auto"/>
        <w:right w:val="none" w:sz="0" w:space="0" w:color="auto"/>
      </w:divBdr>
    </w:div>
    <w:div w:id="594828130">
      <w:bodyDiv w:val="1"/>
      <w:marLeft w:val="0"/>
      <w:marRight w:val="0"/>
      <w:marTop w:val="0"/>
      <w:marBottom w:val="0"/>
      <w:divBdr>
        <w:top w:val="none" w:sz="0" w:space="0" w:color="auto"/>
        <w:left w:val="none" w:sz="0" w:space="0" w:color="auto"/>
        <w:bottom w:val="none" w:sz="0" w:space="0" w:color="auto"/>
        <w:right w:val="none" w:sz="0" w:space="0" w:color="auto"/>
      </w:divBdr>
    </w:div>
    <w:div w:id="601760325">
      <w:bodyDiv w:val="1"/>
      <w:marLeft w:val="0"/>
      <w:marRight w:val="0"/>
      <w:marTop w:val="0"/>
      <w:marBottom w:val="0"/>
      <w:divBdr>
        <w:top w:val="none" w:sz="0" w:space="0" w:color="auto"/>
        <w:left w:val="none" w:sz="0" w:space="0" w:color="auto"/>
        <w:bottom w:val="none" w:sz="0" w:space="0" w:color="auto"/>
        <w:right w:val="none" w:sz="0" w:space="0" w:color="auto"/>
      </w:divBdr>
    </w:div>
    <w:div w:id="612323510">
      <w:bodyDiv w:val="1"/>
      <w:marLeft w:val="0"/>
      <w:marRight w:val="0"/>
      <w:marTop w:val="0"/>
      <w:marBottom w:val="0"/>
      <w:divBdr>
        <w:top w:val="none" w:sz="0" w:space="0" w:color="auto"/>
        <w:left w:val="none" w:sz="0" w:space="0" w:color="auto"/>
        <w:bottom w:val="none" w:sz="0" w:space="0" w:color="auto"/>
        <w:right w:val="none" w:sz="0" w:space="0" w:color="auto"/>
      </w:divBdr>
    </w:div>
    <w:div w:id="616377580">
      <w:bodyDiv w:val="1"/>
      <w:marLeft w:val="0"/>
      <w:marRight w:val="0"/>
      <w:marTop w:val="0"/>
      <w:marBottom w:val="0"/>
      <w:divBdr>
        <w:top w:val="none" w:sz="0" w:space="0" w:color="auto"/>
        <w:left w:val="none" w:sz="0" w:space="0" w:color="auto"/>
        <w:bottom w:val="none" w:sz="0" w:space="0" w:color="auto"/>
        <w:right w:val="none" w:sz="0" w:space="0" w:color="auto"/>
      </w:divBdr>
    </w:div>
    <w:div w:id="630986600">
      <w:bodyDiv w:val="1"/>
      <w:marLeft w:val="0"/>
      <w:marRight w:val="0"/>
      <w:marTop w:val="0"/>
      <w:marBottom w:val="0"/>
      <w:divBdr>
        <w:top w:val="none" w:sz="0" w:space="0" w:color="auto"/>
        <w:left w:val="none" w:sz="0" w:space="0" w:color="auto"/>
        <w:bottom w:val="none" w:sz="0" w:space="0" w:color="auto"/>
        <w:right w:val="none" w:sz="0" w:space="0" w:color="auto"/>
      </w:divBdr>
    </w:div>
    <w:div w:id="697239318">
      <w:bodyDiv w:val="1"/>
      <w:marLeft w:val="0"/>
      <w:marRight w:val="0"/>
      <w:marTop w:val="0"/>
      <w:marBottom w:val="0"/>
      <w:divBdr>
        <w:top w:val="none" w:sz="0" w:space="0" w:color="auto"/>
        <w:left w:val="none" w:sz="0" w:space="0" w:color="auto"/>
        <w:bottom w:val="none" w:sz="0" w:space="0" w:color="auto"/>
        <w:right w:val="none" w:sz="0" w:space="0" w:color="auto"/>
      </w:divBdr>
    </w:div>
    <w:div w:id="713848243">
      <w:bodyDiv w:val="1"/>
      <w:marLeft w:val="0"/>
      <w:marRight w:val="0"/>
      <w:marTop w:val="0"/>
      <w:marBottom w:val="0"/>
      <w:divBdr>
        <w:top w:val="none" w:sz="0" w:space="0" w:color="auto"/>
        <w:left w:val="none" w:sz="0" w:space="0" w:color="auto"/>
        <w:bottom w:val="none" w:sz="0" w:space="0" w:color="auto"/>
        <w:right w:val="none" w:sz="0" w:space="0" w:color="auto"/>
      </w:divBdr>
    </w:div>
    <w:div w:id="721176776">
      <w:bodyDiv w:val="1"/>
      <w:marLeft w:val="0"/>
      <w:marRight w:val="0"/>
      <w:marTop w:val="0"/>
      <w:marBottom w:val="0"/>
      <w:divBdr>
        <w:top w:val="none" w:sz="0" w:space="0" w:color="auto"/>
        <w:left w:val="none" w:sz="0" w:space="0" w:color="auto"/>
        <w:bottom w:val="none" w:sz="0" w:space="0" w:color="auto"/>
        <w:right w:val="none" w:sz="0" w:space="0" w:color="auto"/>
      </w:divBdr>
    </w:div>
    <w:div w:id="773326043">
      <w:bodyDiv w:val="1"/>
      <w:marLeft w:val="0"/>
      <w:marRight w:val="0"/>
      <w:marTop w:val="0"/>
      <w:marBottom w:val="0"/>
      <w:divBdr>
        <w:top w:val="none" w:sz="0" w:space="0" w:color="auto"/>
        <w:left w:val="none" w:sz="0" w:space="0" w:color="auto"/>
        <w:bottom w:val="none" w:sz="0" w:space="0" w:color="auto"/>
        <w:right w:val="none" w:sz="0" w:space="0" w:color="auto"/>
      </w:divBdr>
    </w:div>
    <w:div w:id="983970591">
      <w:bodyDiv w:val="1"/>
      <w:marLeft w:val="0"/>
      <w:marRight w:val="0"/>
      <w:marTop w:val="0"/>
      <w:marBottom w:val="0"/>
      <w:divBdr>
        <w:top w:val="none" w:sz="0" w:space="0" w:color="auto"/>
        <w:left w:val="none" w:sz="0" w:space="0" w:color="auto"/>
        <w:bottom w:val="none" w:sz="0" w:space="0" w:color="auto"/>
        <w:right w:val="none" w:sz="0" w:space="0" w:color="auto"/>
      </w:divBdr>
    </w:div>
    <w:div w:id="1000086950">
      <w:bodyDiv w:val="1"/>
      <w:marLeft w:val="0"/>
      <w:marRight w:val="0"/>
      <w:marTop w:val="0"/>
      <w:marBottom w:val="0"/>
      <w:divBdr>
        <w:top w:val="none" w:sz="0" w:space="0" w:color="auto"/>
        <w:left w:val="none" w:sz="0" w:space="0" w:color="auto"/>
        <w:bottom w:val="none" w:sz="0" w:space="0" w:color="auto"/>
        <w:right w:val="none" w:sz="0" w:space="0" w:color="auto"/>
      </w:divBdr>
    </w:div>
    <w:div w:id="1015689900">
      <w:bodyDiv w:val="1"/>
      <w:marLeft w:val="0"/>
      <w:marRight w:val="0"/>
      <w:marTop w:val="0"/>
      <w:marBottom w:val="0"/>
      <w:divBdr>
        <w:top w:val="none" w:sz="0" w:space="0" w:color="auto"/>
        <w:left w:val="none" w:sz="0" w:space="0" w:color="auto"/>
        <w:bottom w:val="none" w:sz="0" w:space="0" w:color="auto"/>
        <w:right w:val="none" w:sz="0" w:space="0" w:color="auto"/>
      </w:divBdr>
    </w:div>
    <w:div w:id="1098411193">
      <w:bodyDiv w:val="1"/>
      <w:marLeft w:val="0"/>
      <w:marRight w:val="0"/>
      <w:marTop w:val="0"/>
      <w:marBottom w:val="0"/>
      <w:divBdr>
        <w:top w:val="none" w:sz="0" w:space="0" w:color="auto"/>
        <w:left w:val="none" w:sz="0" w:space="0" w:color="auto"/>
        <w:bottom w:val="none" w:sz="0" w:space="0" w:color="auto"/>
        <w:right w:val="none" w:sz="0" w:space="0" w:color="auto"/>
      </w:divBdr>
    </w:div>
    <w:div w:id="1144851824">
      <w:bodyDiv w:val="1"/>
      <w:marLeft w:val="0"/>
      <w:marRight w:val="0"/>
      <w:marTop w:val="0"/>
      <w:marBottom w:val="0"/>
      <w:divBdr>
        <w:top w:val="none" w:sz="0" w:space="0" w:color="auto"/>
        <w:left w:val="none" w:sz="0" w:space="0" w:color="auto"/>
        <w:bottom w:val="none" w:sz="0" w:space="0" w:color="auto"/>
        <w:right w:val="none" w:sz="0" w:space="0" w:color="auto"/>
      </w:divBdr>
    </w:div>
    <w:div w:id="1184828969">
      <w:bodyDiv w:val="1"/>
      <w:marLeft w:val="0"/>
      <w:marRight w:val="0"/>
      <w:marTop w:val="0"/>
      <w:marBottom w:val="0"/>
      <w:divBdr>
        <w:top w:val="none" w:sz="0" w:space="0" w:color="auto"/>
        <w:left w:val="none" w:sz="0" w:space="0" w:color="auto"/>
        <w:bottom w:val="none" w:sz="0" w:space="0" w:color="auto"/>
        <w:right w:val="none" w:sz="0" w:space="0" w:color="auto"/>
      </w:divBdr>
    </w:div>
    <w:div w:id="1220894874">
      <w:bodyDiv w:val="1"/>
      <w:marLeft w:val="0"/>
      <w:marRight w:val="0"/>
      <w:marTop w:val="0"/>
      <w:marBottom w:val="0"/>
      <w:divBdr>
        <w:top w:val="none" w:sz="0" w:space="0" w:color="auto"/>
        <w:left w:val="none" w:sz="0" w:space="0" w:color="auto"/>
        <w:bottom w:val="none" w:sz="0" w:space="0" w:color="auto"/>
        <w:right w:val="none" w:sz="0" w:space="0" w:color="auto"/>
      </w:divBdr>
    </w:div>
    <w:div w:id="1246568681">
      <w:bodyDiv w:val="1"/>
      <w:marLeft w:val="0"/>
      <w:marRight w:val="0"/>
      <w:marTop w:val="0"/>
      <w:marBottom w:val="0"/>
      <w:divBdr>
        <w:top w:val="none" w:sz="0" w:space="0" w:color="auto"/>
        <w:left w:val="none" w:sz="0" w:space="0" w:color="auto"/>
        <w:bottom w:val="none" w:sz="0" w:space="0" w:color="auto"/>
        <w:right w:val="none" w:sz="0" w:space="0" w:color="auto"/>
      </w:divBdr>
    </w:div>
    <w:div w:id="1247612860">
      <w:bodyDiv w:val="1"/>
      <w:marLeft w:val="0"/>
      <w:marRight w:val="0"/>
      <w:marTop w:val="0"/>
      <w:marBottom w:val="0"/>
      <w:divBdr>
        <w:top w:val="none" w:sz="0" w:space="0" w:color="auto"/>
        <w:left w:val="none" w:sz="0" w:space="0" w:color="auto"/>
        <w:bottom w:val="none" w:sz="0" w:space="0" w:color="auto"/>
        <w:right w:val="none" w:sz="0" w:space="0" w:color="auto"/>
      </w:divBdr>
    </w:div>
    <w:div w:id="1284770754">
      <w:bodyDiv w:val="1"/>
      <w:marLeft w:val="0"/>
      <w:marRight w:val="0"/>
      <w:marTop w:val="0"/>
      <w:marBottom w:val="0"/>
      <w:divBdr>
        <w:top w:val="none" w:sz="0" w:space="0" w:color="auto"/>
        <w:left w:val="none" w:sz="0" w:space="0" w:color="auto"/>
        <w:bottom w:val="none" w:sz="0" w:space="0" w:color="auto"/>
        <w:right w:val="none" w:sz="0" w:space="0" w:color="auto"/>
      </w:divBdr>
    </w:div>
    <w:div w:id="1310282833">
      <w:bodyDiv w:val="1"/>
      <w:marLeft w:val="0"/>
      <w:marRight w:val="0"/>
      <w:marTop w:val="0"/>
      <w:marBottom w:val="0"/>
      <w:divBdr>
        <w:top w:val="none" w:sz="0" w:space="0" w:color="auto"/>
        <w:left w:val="none" w:sz="0" w:space="0" w:color="auto"/>
        <w:bottom w:val="none" w:sz="0" w:space="0" w:color="auto"/>
        <w:right w:val="none" w:sz="0" w:space="0" w:color="auto"/>
      </w:divBdr>
    </w:div>
    <w:div w:id="1375613346">
      <w:bodyDiv w:val="1"/>
      <w:marLeft w:val="0"/>
      <w:marRight w:val="0"/>
      <w:marTop w:val="0"/>
      <w:marBottom w:val="0"/>
      <w:divBdr>
        <w:top w:val="none" w:sz="0" w:space="0" w:color="auto"/>
        <w:left w:val="none" w:sz="0" w:space="0" w:color="auto"/>
        <w:bottom w:val="none" w:sz="0" w:space="0" w:color="auto"/>
        <w:right w:val="none" w:sz="0" w:space="0" w:color="auto"/>
      </w:divBdr>
    </w:div>
    <w:div w:id="1440099406">
      <w:bodyDiv w:val="1"/>
      <w:marLeft w:val="0"/>
      <w:marRight w:val="0"/>
      <w:marTop w:val="0"/>
      <w:marBottom w:val="0"/>
      <w:divBdr>
        <w:top w:val="none" w:sz="0" w:space="0" w:color="auto"/>
        <w:left w:val="none" w:sz="0" w:space="0" w:color="auto"/>
        <w:bottom w:val="none" w:sz="0" w:space="0" w:color="auto"/>
        <w:right w:val="none" w:sz="0" w:space="0" w:color="auto"/>
      </w:divBdr>
    </w:div>
    <w:div w:id="1443067606">
      <w:bodyDiv w:val="1"/>
      <w:marLeft w:val="0"/>
      <w:marRight w:val="0"/>
      <w:marTop w:val="0"/>
      <w:marBottom w:val="0"/>
      <w:divBdr>
        <w:top w:val="none" w:sz="0" w:space="0" w:color="auto"/>
        <w:left w:val="none" w:sz="0" w:space="0" w:color="auto"/>
        <w:bottom w:val="none" w:sz="0" w:space="0" w:color="auto"/>
        <w:right w:val="none" w:sz="0" w:space="0" w:color="auto"/>
      </w:divBdr>
    </w:div>
    <w:div w:id="1448964054">
      <w:bodyDiv w:val="1"/>
      <w:marLeft w:val="0"/>
      <w:marRight w:val="0"/>
      <w:marTop w:val="0"/>
      <w:marBottom w:val="0"/>
      <w:divBdr>
        <w:top w:val="none" w:sz="0" w:space="0" w:color="auto"/>
        <w:left w:val="none" w:sz="0" w:space="0" w:color="auto"/>
        <w:bottom w:val="none" w:sz="0" w:space="0" w:color="auto"/>
        <w:right w:val="none" w:sz="0" w:space="0" w:color="auto"/>
      </w:divBdr>
    </w:div>
    <w:div w:id="1462650349">
      <w:bodyDiv w:val="1"/>
      <w:marLeft w:val="0"/>
      <w:marRight w:val="0"/>
      <w:marTop w:val="0"/>
      <w:marBottom w:val="0"/>
      <w:divBdr>
        <w:top w:val="none" w:sz="0" w:space="0" w:color="auto"/>
        <w:left w:val="none" w:sz="0" w:space="0" w:color="auto"/>
        <w:bottom w:val="none" w:sz="0" w:space="0" w:color="auto"/>
        <w:right w:val="none" w:sz="0" w:space="0" w:color="auto"/>
      </w:divBdr>
    </w:div>
    <w:div w:id="1602952113">
      <w:bodyDiv w:val="1"/>
      <w:marLeft w:val="0"/>
      <w:marRight w:val="0"/>
      <w:marTop w:val="0"/>
      <w:marBottom w:val="0"/>
      <w:divBdr>
        <w:top w:val="none" w:sz="0" w:space="0" w:color="auto"/>
        <w:left w:val="none" w:sz="0" w:space="0" w:color="auto"/>
        <w:bottom w:val="none" w:sz="0" w:space="0" w:color="auto"/>
        <w:right w:val="none" w:sz="0" w:space="0" w:color="auto"/>
      </w:divBdr>
      <w:divsChild>
        <w:div w:id="48041731">
          <w:marLeft w:val="0"/>
          <w:marRight w:val="0"/>
          <w:marTop w:val="0"/>
          <w:marBottom w:val="0"/>
          <w:divBdr>
            <w:top w:val="none" w:sz="0" w:space="0" w:color="auto"/>
            <w:left w:val="none" w:sz="0" w:space="0" w:color="auto"/>
            <w:bottom w:val="none" w:sz="0" w:space="0" w:color="auto"/>
            <w:right w:val="none" w:sz="0" w:space="0" w:color="auto"/>
          </w:divBdr>
        </w:div>
      </w:divsChild>
    </w:div>
    <w:div w:id="1646665034">
      <w:bodyDiv w:val="1"/>
      <w:marLeft w:val="0"/>
      <w:marRight w:val="0"/>
      <w:marTop w:val="0"/>
      <w:marBottom w:val="0"/>
      <w:divBdr>
        <w:top w:val="none" w:sz="0" w:space="0" w:color="auto"/>
        <w:left w:val="none" w:sz="0" w:space="0" w:color="auto"/>
        <w:bottom w:val="none" w:sz="0" w:space="0" w:color="auto"/>
        <w:right w:val="none" w:sz="0" w:space="0" w:color="auto"/>
      </w:divBdr>
    </w:div>
    <w:div w:id="1781146400">
      <w:bodyDiv w:val="1"/>
      <w:marLeft w:val="0"/>
      <w:marRight w:val="0"/>
      <w:marTop w:val="0"/>
      <w:marBottom w:val="0"/>
      <w:divBdr>
        <w:top w:val="none" w:sz="0" w:space="0" w:color="auto"/>
        <w:left w:val="none" w:sz="0" w:space="0" w:color="auto"/>
        <w:bottom w:val="none" w:sz="0" w:space="0" w:color="auto"/>
        <w:right w:val="none" w:sz="0" w:space="0" w:color="auto"/>
      </w:divBdr>
    </w:div>
    <w:div w:id="1809712427">
      <w:bodyDiv w:val="1"/>
      <w:marLeft w:val="0"/>
      <w:marRight w:val="0"/>
      <w:marTop w:val="0"/>
      <w:marBottom w:val="0"/>
      <w:divBdr>
        <w:top w:val="none" w:sz="0" w:space="0" w:color="auto"/>
        <w:left w:val="none" w:sz="0" w:space="0" w:color="auto"/>
        <w:bottom w:val="none" w:sz="0" w:space="0" w:color="auto"/>
        <w:right w:val="none" w:sz="0" w:space="0" w:color="auto"/>
      </w:divBdr>
    </w:div>
    <w:div w:id="1866556017">
      <w:bodyDiv w:val="1"/>
      <w:marLeft w:val="0"/>
      <w:marRight w:val="0"/>
      <w:marTop w:val="0"/>
      <w:marBottom w:val="0"/>
      <w:divBdr>
        <w:top w:val="none" w:sz="0" w:space="0" w:color="auto"/>
        <w:left w:val="none" w:sz="0" w:space="0" w:color="auto"/>
        <w:bottom w:val="none" w:sz="0" w:space="0" w:color="auto"/>
        <w:right w:val="none" w:sz="0" w:space="0" w:color="auto"/>
      </w:divBdr>
    </w:div>
    <w:div w:id="1946694092">
      <w:bodyDiv w:val="1"/>
      <w:marLeft w:val="0"/>
      <w:marRight w:val="0"/>
      <w:marTop w:val="0"/>
      <w:marBottom w:val="0"/>
      <w:divBdr>
        <w:top w:val="none" w:sz="0" w:space="0" w:color="auto"/>
        <w:left w:val="none" w:sz="0" w:space="0" w:color="auto"/>
        <w:bottom w:val="none" w:sz="0" w:space="0" w:color="auto"/>
        <w:right w:val="none" w:sz="0" w:space="0" w:color="auto"/>
      </w:divBdr>
    </w:div>
    <w:div w:id="2035963188">
      <w:bodyDiv w:val="1"/>
      <w:marLeft w:val="0"/>
      <w:marRight w:val="0"/>
      <w:marTop w:val="0"/>
      <w:marBottom w:val="0"/>
      <w:divBdr>
        <w:top w:val="none" w:sz="0" w:space="0" w:color="auto"/>
        <w:left w:val="none" w:sz="0" w:space="0" w:color="auto"/>
        <w:bottom w:val="none" w:sz="0" w:space="0" w:color="auto"/>
        <w:right w:val="none" w:sz="0" w:space="0" w:color="auto"/>
      </w:divBdr>
    </w:div>
    <w:div w:id="20636289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emf"/><Relationship Id="rId9" Type="http://schemas.openxmlformats.org/officeDocument/2006/relationships/fontTable" Target="fontTable.xml"/><Relationship Id="rId10"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4E77D4-1454-5F4C-873D-EACB5EB4D00C}">
  <ds:schemaRefs>
    <ds:schemaRef ds:uri="http://schemas.openxmlformats.org/officeDocument/2006/bibliography"/>
  </ds:schemaRefs>
</ds:datastoreItem>
</file>

<file path=customXml/itemProps2.xml><?xml version="1.0" encoding="utf-8"?>
<ds:datastoreItem xmlns:ds="http://schemas.openxmlformats.org/officeDocument/2006/customXml" ds:itemID="{DE34B382-003E-E746-8EFF-341C0740E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2670</Words>
  <Characters>15224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17859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Harris</dc:creator>
  <cp:keywords/>
  <dc:description/>
  <cp:lastModifiedBy>Cendri Hutcherson</cp:lastModifiedBy>
  <cp:revision>3</cp:revision>
  <dcterms:created xsi:type="dcterms:W3CDTF">2019-05-02T05:41:00Z</dcterms:created>
  <dcterms:modified xsi:type="dcterms:W3CDTF">2019-05-02T05:41:00Z</dcterms:modified>
</cp:coreProperties>
</file>